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F1A1" w14:textId="77777777" w:rsidR="00725F1B" w:rsidRDefault="00725F1B" w:rsidP="00725F1B">
      <w:pPr>
        <w:pStyle w:val="Standard"/>
        <w:ind w:firstLine="708"/>
      </w:pPr>
      <w:r>
        <w:rPr>
          <w:b/>
          <w:noProof/>
          <w:color w:val="000000"/>
          <w:sz w:val="22"/>
          <w:szCs w:val="22"/>
          <w:lang w:val="hr-BA" w:eastAsia="hr-BA" w:bidi="ar-SA"/>
        </w:rPr>
        <w:drawing>
          <wp:inline distT="0" distB="0" distL="0" distR="0" wp14:anchorId="57FA9EDB" wp14:editId="44AD0FE6">
            <wp:extent cx="457200" cy="56197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619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B78FDF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</w:p>
    <w:p w14:paraId="4A172485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REPUBLIKA HRVATSKA</w:t>
      </w:r>
    </w:p>
    <w:p w14:paraId="74E0D93B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KARLOVAČKA  ŽUPANIJA</w:t>
      </w:r>
    </w:p>
    <w:p w14:paraId="70FAA13F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OPĆINA VOJNIĆ</w:t>
      </w:r>
    </w:p>
    <w:p w14:paraId="5A08CE9E" w14:textId="77777777" w:rsidR="00725F1B" w:rsidRDefault="00725F1B" w:rsidP="00725F1B">
      <w:pPr>
        <w:pStyle w:val="Standard"/>
        <w:rPr>
          <w:rFonts w:cs="Times New Roman"/>
          <w:color w:val="000000"/>
        </w:rPr>
      </w:pPr>
      <w:r w:rsidRPr="0086782E">
        <w:rPr>
          <w:rFonts w:cs="Times New Roman"/>
          <w:color w:val="000000"/>
        </w:rPr>
        <w:t>DJEČJI VRTIĆ VOJNIĆ</w:t>
      </w:r>
    </w:p>
    <w:p w14:paraId="13EE10A6" w14:textId="77777777" w:rsidR="002134EE" w:rsidRDefault="002134EE" w:rsidP="00725F1B">
      <w:pPr>
        <w:pStyle w:val="Standard"/>
        <w:rPr>
          <w:rFonts w:cs="Times New Roman"/>
          <w:color w:val="000000"/>
        </w:rPr>
      </w:pPr>
    </w:p>
    <w:p w14:paraId="6588885E" w14:textId="5BF0A17E" w:rsidR="002134EE" w:rsidRDefault="002134EE" w:rsidP="00725F1B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KLASA: </w:t>
      </w:r>
      <w:r w:rsidRPr="002134EE">
        <w:rPr>
          <w:rFonts w:cs="Times New Roman"/>
          <w:color w:val="000000"/>
        </w:rPr>
        <w:t>400-01/24-01/8</w:t>
      </w:r>
    </w:p>
    <w:p w14:paraId="28DAB9D4" w14:textId="4E8A8D3B" w:rsidR="002134EE" w:rsidRPr="0086782E" w:rsidRDefault="002134EE" w:rsidP="00725F1B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URBROJ: </w:t>
      </w:r>
      <w:r w:rsidRPr="002134EE">
        <w:rPr>
          <w:rFonts w:cs="Times New Roman"/>
          <w:color w:val="000000"/>
        </w:rPr>
        <w:t>2133-17-03-24-</w:t>
      </w:r>
      <w:r>
        <w:rPr>
          <w:rFonts w:cs="Times New Roman"/>
          <w:color w:val="000000"/>
        </w:rPr>
        <w:t>2</w:t>
      </w:r>
    </w:p>
    <w:p w14:paraId="6863AEC7" w14:textId="0BDF30D8" w:rsidR="00725F1B" w:rsidRPr="0086782E" w:rsidRDefault="00725F1B" w:rsidP="00725F1B">
      <w:pPr>
        <w:pStyle w:val="Standard"/>
        <w:jc w:val="both"/>
        <w:rPr>
          <w:rFonts w:cs="Times New Roman"/>
          <w:color w:val="000000"/>
        </w:rPr>
      </w:pPr>
      <w:r w:rsidRPr="0086782E">
        <w:rPr>
          <w:rFonts w:cs="Times New Roman"/>
          <w:color w:val="000000"/>
        </w:rPr>
        <w:t>Vojnić,</w:t>
      </w:r>
      <w:r w:rsidR="00833227">
        <w:rPr>
          <w:rFonts w:cs="Times New Roman"/>
          <w:color w:val="000000"/>
        </w:rPr>
        <w:t xml:space="preserve"> prosinac</w:t>
      </w:r>
      <w:r w:rsidR="0086782E" w:rsidRPr="0086782E">
        <w:rPr>
          <w:rFonts w:cs="Times New Roman"/>
          <w:color w:val="000000"/>
        </w:rPr>
        <w:t xml:space="preserve"> 2024. godine</w:t>
      </w:r>
    </w:p>
    <w:p w14:paraId="2FF656F6" w14:textId="77777777" w:rsidR="00725F1B" w:rsidRDefault="00725F1B" w:rsidP="00725F1B">
      <w:pPr>
        <w:pStyle w:val="Standard"/>
      </w:pPr>
    </w:p>
    <w:p w14:paraId="732D7A97" w14:textId="77777777" w:rsidR="00C4241A" w:rsidRDefault="00C4241A" w:rsidP="00725F1B">
      <w:pPr>
        <w:pStyle w:val="Standard"/>
      </w:pPr>
    </w:p>
    <w:p w14:paraId="4013B4BA" w14:textId="77777777" w:rsidR="00833227" w:rsidRDefault="00725F1B" w:rsidP="00725F1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OBRAZLOŽENJE FINANCIJSKOG PLANA </w:t>
      </w:r>
    </w:p>
    <w:p w14:paraId="0E01DABF" w14:textId="6CCE4400" w:rsidR="00725F1B" w:rsidRDefault="00725F1B" w:rsidP="00725F1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DJEČJEG VRTIĆA VOJNIĆ ZA</w:t>
      </w:r>
    </w:p>
    <w:p w14:paraId="20D6AC09" w14:textId="2C1612AE" w:rsidR="00725F1B" w:rsidRDefault="00725F1B" w:rsidP="007702A5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83322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GODINU</w:t>
      </w:r>
      <w:r w:rsidR="006C108F">
        <w:rPr>
          <w:b/>
          <w:sz w:val="28"/>
          <w:szCs w:val="28"/>
        </w:rPr>
        <w:t xml:space="preserve"> </w:t>
      </w:r>
    </w:p>
    <w:p w14:paraId="33BCD2EE" w14:textId="77777777" w:rsidR="007702A5" w:rsidRDefault="007702A5" w:rsidP="007702A5">
      <w:pPr>
        <w:pStyle w:val="Standard"/>
        <w:jc w:val="center"/>
        <w:rPr>
          <w:b/>
          <w:sz w:val="28"/>
          <w:szCs w:val="28"/>
        </w:rPr>
      </w:pPr>
    </w:p>
    <w:p w14:paraId="1F41514D" w14:textId="77777777" w:rsidR="00725F1B" w:rsidRDefault="00725F1B" w:rsidP="00725F1B">
      <w:pPr>
        <w:pStyle w:val="Standard"/>
        <w:jc w:val="both"/>
        <w:rPr>
          <w:b/>
          <w:sz w:val="28"/>
          <w:szCs w:val="28"/>
          <w:u w:val="single"/>
        </w:rPr>
      </w:pPr>
    </w:p>
    <w:p w14:paraId="27D8BF48" w14:textId="77777777" w:rsidR="00725F1B" w:rsidRDefault="00725F1B" w:rsidP="00725F1B">
      <w:pPr>
        <w:pStyle w:val="Standard"/>
        <w:jc w:val="both"/>
        <w:rPr>
          <w:b/>
          <w:u w:val="single"/>
        </w:rPr>
      </w:pPr>
      <w:r>
        <w:rPr>
          <w:b/>
          <w:u w:val="single"/>
        </w:rPr>
        <w:t>PRAVNI OSNOV</w:t>
      </w:r>
    </w:p>
    <w:p w14:paraId="412EEB7F" w14:textId="77777777" w:rsidR="00725F1B" w:rsidRDefault="00725F1B" w:rsidP="00725F1B">
      <w:pPr>
        <w:pStyle w:val="Standard"/>
        <w:rPr>
          <w:lang w:eastAsia="hr-HR"/>
        </w:rPr>
      </w:pPr>
    </w:p>
    <w:p w14:paraId="400D45C5" w14:textId="77777777" w:rsidR="00725F1B" w:rsidRDefault="00725F1B" w:rsidP="00725F1B">
      <w:pPr>
        <w:pStyle w:val="Standard"/>
        <w:jc w:val="both"/>
        <w:rPr>
          <w:lang w:eastAsia="hr-HR"/>
        </w:rPr>
      </w:pPr>
    </w:p>
    <w:p w14:paraId="313DBBFA" w14:textId="59D321D4" w:rsidR="00833227" w:rsidRPr="00833227" w:rsidRDefault="00725F1B" w:rsidP="00833227">
      <w:pPr>
        <w:pStyle w:val="Standard"/>
        <w:spacing w:line="360" w:lineRule="auto"/>
        <w:jc w:val="both"/>
        <w:rPr>
          <w:lang w:eastAsia="hr-HR"/>
        </w:rPr>
      </w:pPr>
      <w:r>
        <w:rPr>
          <w:lang w:eastAsia="hr-HR"/>
        </w:rPr>
        <w:t xml:space="preserve">Odredbama članka </w:t>
      </w:r>
      <w:r w:rsidR="00833227">
        <w:rPr>
          <w:lang w:eastAsia="hr-HR"/>
        </w:rPr>
        <w:t>38</w:t>
      </w:r>
      <w:r>
        <w:rPr>
          <w:lang w:eastAsia="hr-HR"/>
        </w:rPr>
        <w:t xml:space="preserve">. Zakona o proračunu („Narodne novine“, broj </w:t>
      </w:r>
      <w:r w:rsidR="002B5527">
        <w:rPr>
          <w:lang w:eastAsia="hr-HR"/>
        </w:rPr>
        <w:t>144/21</w:t>
      </w:r>
      <w:r>
        <w:rPr>
          <w:lang w:eastAsia="hr-HR"/>
        </w:rPr>
        <w:t xml:space="preserve">) propisano je da </w:t>
      </w:r>
      <w:r w:rsidR="00833227">
        <w:rPr>
          <w:lang w:eastAsia="hr-HR"/>
        </w:rPr>
        <w:t>su p</w:t>
      </w:r>
      <w:r w:rsidR="00833227" w:rsidRPr="00833227">
        <w:rPr>
          <w:lang w:eastAsia="hr-HR"/>
        </w:rPr>
        <w:t>roračunski korisnici dužni dostaviti prijedloge financijskih planova nadležnim ministarstvima ili drugim državnim tijelima na razini razdjela organizacijske klasifikacije odnosno upravnim tijelima sukladno rokovima</w:t>
      </w:r>
      <w:r w:rsidR="00833227">
        <w:rPr>
          <w:lang w:eastAsia="hr-HR"/>
        </w:rPr>
        <w:t xml:space="preserve">. </w:t>
      </w:r>
      <w:r w:rsidR="00833227" w:rsidRPr="00833227">
        <w:rPr>
          <w:lang w:eastAsia="hr-HR"/>
        </w:rPr>
        <w:t>Čelnik proračunskog korisnika obvezan je prije dostave prijedloga financijskog plana prijedlog financijskog plana uputiti upravljačkom tijelu na usvajanje, ako je primjenjivo u skladu s aktima kojima je uređen rad proračunskog korisnika.</w:t>
      </w:r>
      <w:r w:rsidR="00833227">
        <w:rPr>
          <w:lang w:eastAsia="hr-HR"/>
        </w:rPr>
        <w:t xml:space="preserve"> </w:t>
      </w:r>
      <w:r w:rsidR="00833227" w:rsidRPr="00833227">
        <w:rPr>
          <w:lang w:eastAsia="hr-HR"/>
        </w:rPr>
        <w:t>Upravljačko tijelo usvaja prijedlog financijskog plana koji sadrži plan za proračunsku godinu i projekcije za sljedeće dvije godine na razini skupine ekonomske klasifikacije.</w:t>
      </w:r>
    </w:p>
    <w:p w14:paraId="74C0C86A" w14:textId="28613F70" w:rsidR="00725F1B" w:rsidRDefault="00725F1B" w:rsidP="00D27095">
      <w:pPr>
        <w:pStyle w:val="Standard"/>
        <w:spacing w:line="360" w:lineRule="auto"/>
        <w:jc w:val="both"/>
        <w:rPr>
          <w:lang w:eastAsia="hr-HR"/>
        </w:rPr>
      </w:pPr>
    </w:p>
    <w:p w14:paraId="59CC594C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Dječji vrtić Vojnić je javna ustanova koja organizira i provodi programe njege, odgoja, obrazovanja, zdravstvene zaštite, prehrane i socijalne skrbi za djecu od navršene 3. godine do polaska u školu. Odgojno-obrazovni rad temelji se na Zakonu o predškolskom odgoju i obrazovanju djece, Programskom usmjerenju odgoja i obrazovanja predškolske djece, Državnom pedagoškom standardu, Nacionalnom kurikulumu za rani i predškolski odgoj i obrazovanje te drugim zakonskim propisima koji se odnose na predškolski odgoj i obrazovanje, a sve u skladu sa suvremenom koncepcijom predškolskog odgoja i obrazovanja, polazećih od stvarnih potreba djeteta i njegove osobnosti, u stalnoj dinamičnoj interakciji s obitelji i okruženjem. U Dječjem vrtiću Vojnić provodi se redoviti devetosatni program koji se ostvaruje u jednoj mješovitoj vrtićkoj i jednoj mješovitoj jasličkoj odgojno-obrazovnoj skupini, te verificirani program </w:t>
      </w:r>
      <w:proofErr w:type="spellStart"/>
      <w:r w:rsidRPr="00833227">
        <w:rPr>
          <w:lang w:eastAsia="hr-HR"/>
        </w:rPr>
        <w:t>predškole</w:t>
      </w:r>
      <w:proofErr w:type="spellEnd"/>
      <w:r w:rsidRPr="00833227">
        <w:rPr>
          <w:lang w:eastAsia="hr-HR"/>
        </w:rPr>
        <w:t xml:space="preserve">  Programi potiču cjelovit razvoj osnovnih funkcija, potencijala, sposobnosti i mogućnosti djeteta kojima će steći određena </w:t>
      </w:r>
      <w:r w:rsidRPr="00833227">
        <w:rPr>
          <w:lang w:eastAsia="hr-HR"/>
        </w:rPr>
        <w:lastRenderedPageBreak/>
        <w:t xml:space="preserve">znanja, navike, vještine i kompetencije koje će mu olakšati prilagodbu na nove uvjete života, rasta i razvoja u školskom i drugom okruženju. Kako bi se i dalje mogle zadovoljavati potrebe i interesi djece, kao i potrebe njihovih roditelja, potrebno je osigurati sredstva za materijalne i financijske rashode za potrebe djelatnosti i izdatke za zaposlene. </w:t>
      </w:r>
    </w:p>
    <w:p w14:paraId="521B57B5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</w:p>
    <w:p w14:paraId="56911A18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>U skladu s odredbama Zakona o proračunu (NN 144/21) koje se odnose na izradu proračuna, Uputa za izradu prijedloga proračuna Općine Vojnić za razdoblje 202</w:t>
      </w:r>
      <w:r>
        <w:rPr>
          <w:lang w:eastAsia="hr-HR"/>
        </w:rPr>
        <w:t>5-</w:t>
      </w:r>
      <w:r w:rsidRPr="00833227">
        <w:rPr>
          <w:lang w:eastAsia="hr-HR"/>
        </w:rPr>
        <w:t>202</w:t>
      </w:r>
      <w:r>
        <w:rPr>
          <w:lang w:eastAsia="hr-HR"/>
        </w:rPr>
        <w:t>7</w:t>
      </w:r>
      <w:r w:rsidRPr="00833227">
        <w:rPr>
          <w:lang w:eastAsia="hr-HR"/>
        </w:rPr>
        <w:t xml:space="preserve">. godine, Dječji vrtić Vojnić kao proračunski korisnik Općine Vojnić obvezan je izraditi Financijski plan. Financijski plan omogućuje financiranje redovnog poslovanja iz državnog proračuna, općinskog proračuna i vlastitih sredstava. </w:t>
      </w:r>
    </w:p>
    <w:p w14:paraId="5EED9635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</w:p>
    <w:p w14:paraId="3795DCFE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>Pri sastavljanju prijedloga Financijskog plana obvezno je pridržavanje zakonom propisane metodologije koju propisuje sadržaj proračuna, programsko planiranje i proračunske klasifikacije. Zakon o proračunu propisuje trogodišnji proračunski okvir, što znači da predstavničko tijelo usvaja Financijski plan za 202</w:t>
      </w:r>
      <w:r>
        <w:rPr>
          <w:lang w:eastAsia="hr-HR"/>
        </w:rPr>
        <w:t>5</w:t>
      </w:r>
      <w:r w:rsidRPr="00833227">
        <w:rPr>
          <w:lang w:eastAsia="hr-HR"/>
        </w:rPr>
        <w:t>. godinu i projekcije za sljedeće dvije godine i to 202</w:t>
      </w:r>
      <w:r>
        <w:rPr>
          <w:lang w:eastAsia="hr-HR"/>
        </w:rPr>
        <w:t>6</w:t>
      </w:r>
      <w:r w:rsidRPr="00833227">
        <w:rPr>
          <w:lang w:eastAsia="hr-HR"/>
        </w:rPr>
        <w:t>. i 202</w:t>
      </w:r>
      <w:r>
        <w:rPr>
          <w:lang w:eastAsia="hr-HR"/>
        </w:rPr>
        <w:t>7</w:t>
      </w:r>
      <w:r w:rsidRPr="00833227">
        <w:rPr>
          <w:lang w:eastAsia="hr-HR"/>
        </w:rPr>
        <w:t xml:space="preserve">. godinu. </w:t>
      </w:r>
    </w:p>
    <w:p w14:paraId="76D22EAC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</w:p>
    <w:p w14:paraId="24CB9352" w14:textId="086609BB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>Na osnovu Zakona o proračunu objavljen je i Pravilnik o proračunskim klasifikacijama (NN 26/10, 120/13, 01/20) koji propisuje vrste, sadržaj i primjenu proračunskih klasifikacija koje su obvezne za izradu proračuna, a primjenjuju se u procesu planiranja za razdoblje 202</w:t>
      </w:r>
      <w:r w:rsidR="00CD1805">
        <w:rPr>
          <w:lang w:eastAsia="hr-HR"/>
        </w:rPr>
        <w:t>5.</w:t>
      </w:r>
      <w:r w:rsidRPr="00833227">
        <w:rPr>
          <w:lang w:eastAsia="hr-HR"/>
        </w:rPr>
        <w:t>-202</w:t>
      </w:r>
      <w:r w:rsidR="00CD1805">
        <w:rPr>
          <w:lang w:eastAsia="hr-HR"/>
        </w:rPr>
        <w:t>7</w:t>
      </w:r>
      <w:r w:rsidRPr="00833227">
        <w:rPr>
          <w:lang w:eastAsia="hr-HR"/>
        </w:rPr>
        <w:t xml:space="preserve">. godine. Pravilnikom se definira okvir kojim se iskazuju i prate prihodi i primici te rashodi i izdaci po nositeljima, cilju, namjeni, vrsti, lokaciji i izvorima financiranja. </w:t>
      </w:r>
    </w:p>
    <w:p w14:paraId="08A86D41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</w:p>
    <w:p w14:paraId="4CF7E552" w14:textId="5D52C514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>Prijedlog Financijskog plana Dječjeg vrtića Vojnić za razdoblje 202</w:t>
      </w:r>
      <w:r w:rsidR="00991E94">
        <w:rPr>
          <w:lang w:eastAsia="hr-HR"/>
        </w:rPr>
        <w:t>5.</w:t>
      </w:r>
      <w:r w:rsidRPr="00833227">
        <w:rPr>
          <w:lang w:eastAsia="hr-HR"/>
        </w:rPr>
        <w:t>-202</w:t>
      </w:r>
      <w:r w:rsidR="00991E94">
        <w:rPr>
          <w:lang w:eastAsia="hr-HR"/>
        </w:rPr>
        <w:t>7</w:t>
      </w:r>
      <w:r w:rsidRPr="00833227">
        <w:rPr>
          <w:lang w:eastAsia="hr-HR"/>
        </w:rPr>
        <w:t xml:space="preserve">. sastoji se od: </w:t>
      </w:r>
    </w:p>
    <w:p w14:paraId="7F45D276" w14:textId="77777777" w:rsidR="00833227" w:rsidRDefault="00833227" w:rsidP="00833227">
      <w:pPr>
        <w:pStyle w:val="Standard"/>
        <w:numPr>
          <w:ilvl w:val="0"/>
          <w:numId w:val="5"/>
        </w:numPr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Općeg dijela Financijskog plana </w:t>
      </w:r>
    </w:p>
    <w:p w14:paraId="52E63EDA" w14:textId="77777777" w:rsidR="00833227" w:rsidRDefault="00833227" w:rsidP="00833227">
      <w:pPr>
        <w:pStyle w:val="Standard"/>
        <w:numPr>
          <w:ilvl w:val="0"/>
          <w:numId w:val="5"/>
        </w:numPr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Posebnog dijela Financijskog plana </w:t>
      </w:r>
    </w:p>
    <w:p w14:paraId="128B96CE" w14:textId="77777777" w:rsidR="00833227" w:rsidRDefault="00833227" w:rsidP="00833227">
      <w:pPr>
        <w:pStyle w:val="Standard"/>
        <w:numPr>
          <w:ilvl w:val="0"/>
          <w:numId w:val="5"/>
        </w:numPr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Obrazloženja prijedloga Financijskog plana </w:t>
      </w:r>
    </w:p>
    <w:p w14:paraId="7973D8C8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</w:p>
    <w:p w14:paraId="14E1032D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Prihodi i rashodi te primici i izdaci utvrđuju se u Računu prihoda i rashoda prema ekonomskoj klasifikaciji i izvorima financiranja te rashodi prema funkcijskoj klasifikaciji. </w:t>
      </w:r>
    </w:p>
    <w:p w14:paraId="1837B20C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Rashodi poslovanja i rashodi za nabavu nefinancijske imovine, u Posebnom dijelu raspoređuju se po organizacijskoj klasifikaciji te po korisnicima i programima. </w:t>
      </w:r>
    </w:p>
    <w:p w14:paraId="3AD90F6C" w14:textId="77777777" w:rsidR="00C95EE8" w:rsidRDefault="00C95EE8" w:rsidP="00833227">
      <w:pPr>
        <w:pStyle w:val="Standard"/>
        <w:spacing w:line="360" w:lineRule="auto"/>
        <w:jc w:val="both"/>
        <w:rPr>
          <w:lang w:eastAsia="hr-HR"/>
        </w:rPr>
      </w:pPr>
    </w:p>
    <w:p w14:paraId="22D56E77" w14:textId="7F4951EE" w:rsidR="00725F1B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>U nastavku se daje Opći dio i Posebni dio s projekcijama za 202</w:t>
      </w:r>
      <w:r>
        <w:rPr>
          <w:lang w:eastAsia="hr-HR"/>
        </w:rPr>
        <w:t>6</w:t>
      </w:r>
      <w:r w:rsidRPr="00833227">
        <w:rPr>
          <w:lang w:eastAsia="hr-HR"/>
        </w:rPr>
        <w:t>. i 202</w:t>
      </w:r>
      <w:r>
        <w:rPr>
          <w:lang w:eastAsia="hr-HR"/>
        </w:rPr>
        <w:t>7</w:t>
      </w:r>
      <w:r w:rsidRPr="00833227">
        <w:rPr>
          <w:lang w:eastAsia="hr-HR"/>
        </w:rPr>
        <w:t>. godinu:</w:t>
      </w:r>
    </w:p>
    <w:p w14:paraId="1B0ABAB7" w14:textId="343174BB" w:rsidR="00C95EE8" w:rsidRDefault="00C95EE8">
      <w:pPr>
        <w:widowControl/>
        <w:suppressAutoHyphens w:val="0"/>
        <w:autoSpaceDN/>
        <w:spacing w:after="160" w:line="259" w:lineRule="auto"/>
        <w:textAlignment w:val="auto"/>
        <w:rPr>
          <w:b/>
          <w:u w:val="single"/>
        </w:rPr>
      </w:pPr>
      <w:r>
        <w:rPr>
          <w:b/>
          <w:u w:val="single"/>
        </w:rPr>
        <w:br w:type="page"/>
      </w:r>
    </w:p>
    <w:p w14:paraId="6858033F" w14:textId="29FB7239" w:rsidR="00833227" w:rsidRDefault="00C95EE8" w:rsidP="00D27095">
      <w:pPr>
        <w:pStyle w:val="Standard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PRIHODI I PRIMICI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928"/>
        <w:gridCol w:w="2043"/>
        <w:gridCol w:w="1339"/>
        <w:gridCol w:w="1116"/>
        <w:gridCol w:w="1517"/>
        <w:gridCol w:w="1494"/>
        <w:gridCol w:w="1494"/>
      </w:tblGrid>
      <w:tr w:rsidR="00C95EE8" w:rsidRPr="00C95EE8" w14:paraId="7B585BC9" w14:textId="77777777" w:rsidTr="00C95EE8">
        <w:trPr>
          <w:trHeight w:val="630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A9D5DA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Razred / Skupina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7DEC2D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NAZIV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DA6E57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IZVRŠENJE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C7B9FA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TEKUĆI PLAN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367267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FINANCIJSKI PLAN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CFB74D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PROJEKCIJA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B7F5AB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PROJEKCIJA</w:t>
            </w:r>
          </w:p>
        </w:tc>
      </w:tr>
      <w:tr w:rsidR="00C95EE8" w:rsidRPr="00C95EE8" w14:paraId="112C9D6C" w14:textId="77777777" w:rsidTr="00C95EE8">
        <w:trPr>
          <w:trHeight w:val="315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36D8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A3A8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BD3DCB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F885CF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325A12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B658C2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77B376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2027</w:t>
            </w:r>
          </w:p>
        </w:tc>
      </w:tr>
      <w:tr w:rsidR="00C95EE8" w:rsidRPr="00C95EE8" w14:paraId="1FA72256" w14:textId="77777777" w:rsidTr="00C95EE8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9FECC2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4AB4FA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0DC73E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A168FF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45BF73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CE7D2F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A56F2F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7</w:t>
            </w:r>
          </w:p>
        </w:tc>
      </w:tr>
      <w:tr w:rsidR="00C95EE8" w:rsidRPr="00C95EE8" w14:paraId="59FB5287" w14:textId="77777777" w:rsidTr="00C95EE8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69DD02ED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EC62C17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3966111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154.667,53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B16CCE6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310.225,00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4BF79FB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355.600,00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0B777B7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356.200,00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9785FAD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356.200,00</w:t>
            </w:r>
          </w:p>
        </w:tc>
      </w:tr>
      <w:tr w:rsidR="00C95EE8" w:rsidRPr="00C95EE8" w14:paraId="378ED876" w14:textId="77777777" w:rsidTr="00C95EE8">
        <w:trPr>
          <w:trHeight w:val="6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E75A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63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2729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Pomoći iz inozemstva i od subjekata unutar općeg proračuna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23F6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16.983,60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8CED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700,00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43F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900,00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AC87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900,00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A7A9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900,00</w:t>
            </w:r>
          </w:p>
        </w:tc>
      </w:tr>
      <w:tr w:rsidR="00C95EE8" w:rsidRPr="00C95EE8" w14:paraId="2261902F" w14:textId="77777777" w:rsidTr="00C95EE8">
        <w:trPr>
          <w:trHeight w:val="9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8EF66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65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FA76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7BF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EA14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35.000,00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ED50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58.100,00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ED34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58.100,00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C73E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58.100,00</w:t>
            </w:r>
          </w:p>
        </w:tc>
      </w:tr>
      <w:tr w:rsidR="00C95EE8" w:rsidRPr="00C95EE8" w14:paraId="6FDAC190" w14:textId="77777777" w:rsidTr="00C95EE8">
        <w:trPr>
          <w:trHeight w:val="6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1BD1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66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8D201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493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24.932,11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203F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D332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1BD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493F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3.000,00</w:t>
            </w:r>
          </w:p>
        </w:tc>
      </w:tr>
      <w:tr w:rsidR="00C95EE8" w:rsidRPr="00C95EE8" w14:paraId="2561C0F8" w14:textId="77777777" w:rsidTr="00C95EE8">
        <w:trPr>
          <w:trHeight w:val="6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9CB0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67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CAA6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Prihodi iz nadležnog proračuna i od HZZO-a temeljem ugovornih obveza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43C7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112.751,82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24B3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274.525,00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C72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293.600,00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4B75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294.200,00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A000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294.200,00</w:t>
            </w:r>
          </w:p>
        </w:tc>
      </w:tr>
    </w:tbl>
    <w:p w14:paraId="66B8B926" w14:textId="77777777" w:rsidR="00873B8D" w:rsidRDefault="00873B8D" w:rsidP="00D27095">
      <w:pPr>
        <w:pStyle w:val="Standard"/>
        <w:spacing w:line="360" w:lineRule="auto"/>
        <w:ind w:firstLine="360"/>
        <w:jc w:val="both"/>
        <w:rPr>
          <w:lang w:eastAsia="hr-HR"/>
        </w:rPr>
      </w:pPr>
    </w:p>
    <w:p w14:paraId="52C5F863" w14:textId="7E5ECC51" w:rsidR="009E4E85" w:rsidRPr="00C95EE8" w:rsidRDefault="00C95EE8" w:rsidP="00C95EE8">
      <w:pPr>
        <w:pStyle w:val="Standard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RASHODI I IZDACI</w:t>
      </w:r>
    </w:p>
    <w:tbl>
      <w:tblPr>
        <w:tblW w:w="9950" w:type="dxa"/>
        <w:tblLook w:val="04A0" w:firstRow="1" w:lastRow="0" w:firstColumn="1" w:lastColumn="0" w:noHBand="0" w:noVBand="1"/>
      </w:tblPr>
      <w:tblGrid>
        <w:gridCol w:w="994"/>
        <w:gridCol w:w="1978"/>
        <w:gridCol w:w="1339"/>
        <w:gridCol w:w="1134"/>
        <w:gridCol w:w="1517"/>
        <w:gridCol w:w="1494"/>
        <w:gridCol w:w="1494"/>
      </w:tblGrid>
      <w:tr w:rsidR="00C95EE8" w:rsidRPr="00C95EE8" w14:paraId="6C78C51E" w14:textId="77777777" w:rsidTr="00C95EE8">
        <w:trPr>
          <w:trHeight w:val="63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51400D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Razred / Skupina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12F99B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NAZIV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FE82B5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IZVRŠENJE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E91399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TEKUĆI PLAN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A1B71C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FINANCIJSKI PLAN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FAA7FB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PROJEKCIJA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0B16DC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PROJEKCIJA</w:t>
            </w:r>
          </w:p>
        </w:tc>
      </w:tr>
      <w:tr w:rsidR="00C95EE8" w:rsidRPr="00C95EE8" w14:paraId="31FBCD4A" w14:textId="77777777" w:rsidTr="00C95EE8">
        <w:trPr>
          <w:trHeight w:val="31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F0FE0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0E781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3E25B0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38CB5F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DECDB6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867C8E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6551B2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2027</w:t>
            </w:r>
          </w:p>
        </w:tc>
      </w:tr>
      <w:tr w:rsidR="00C95EE8" w:rsidRPr="00C95EE8" w14:paraId="30BAF3A9" w14:textId="77777777" w:rsidTr="00C95EE8">
        <w:trPr>
          <w:trHeight w:val="25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FF6F7E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6505EC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A0FDB5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31F3D3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63D526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F4D112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057735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7</w:t>
            </w:r>
          </w:p>
        </w:tc>
      </w:tr>
      <w:tr w:rsidR="00C95EE8" w:rsidRPr="00C95EE8" w14:paraId="1C589386" w14:textId="77777777" w:rsidTr="00C95EE8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3E32579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4C217D0E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BC763B8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149.994,06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B495751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310.410,00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7A7B795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342.600,00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83AC463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341.200,00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18D1483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341.200,00</w:t>
            </w:r>
          </w:p>
        </w:tc>
      </w:tr>
      <w:tr w:rsidR="00C95EE8" w:rsidRPr="00C95EE8" w14:paraId="53C5F5D7" w14:textId="77777777" w:rsidTr="00C95EE8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03C6C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B7D1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8E14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104.907,12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597C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235.100,00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E5C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250.100,00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6294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250.100,00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ACB1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250.100,00</w:t>
            </w:r>
          </w:p>
        </w:tc>
      </w:tr>
      <w:tr w:rsidR="00C95EE8" w:rsidRPr="00C95EE8" w14:paraId="33FF65AD" w14:textId="77777777" w:rsidTr="00C95EE8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168A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9960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F1C8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44.806,99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73CC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74.710,00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59E9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92.300,00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22C7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90.900,00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EBB0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90.900,00</w:t>
            </w:r>
          </w:p>
        </w:tc>
      </w:tr>
      <w:tr w:rsidR="00C95EE8" w:rsidRPr="00C95EE8" w14:paraId="5B75A934" w14:textId="77777777" w:rsidTr="00C95EE8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742A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52AF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0534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279,95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58A8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600,00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0AC9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9C82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F8BF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200,00</w:t>
            </w:r>
          </w:p>
        </w:tc>
      </w:tr>
      <w:tr w:rsidR="00C95EE8" w:rsidRPr="00C95EE8" w14:paraId="5B3E45A3" w14:textId="77777777" w:rsidTr="00C95EE8">
        <w:trPr>
          <w:trHeight w:val="63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4BE9065C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45A5C26D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320A29F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60B6B22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10.000,00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F19A1C3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13.000,00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55F9F57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0709CD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15.000,00</w:t>
            </w:r>
          </w:p>
        </w:tc>
      </w:tr>
      <w:tr w:rsidR="00C95EE8" w:rsidRPr="00C95EE8" w14:paraId="18730D91" w14:textId="77777777" w:rsidTr="00C95EE8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7460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42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71E0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608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5085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D59B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8.000,00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8C99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BC00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10.000,00</w:t>
            </w:r>
          </w:p>
        </w:tc>
      </w:tr>
      <w:tr w:rsidR="00C95EE8" w:rsidRPr="00C95EE8" w14:paraId="518F2224" w14:textId="77777777" w:rsidTr="00C95EE8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24AF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45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7F91B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6F1A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20AB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335C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3832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C5F5" w14:textId="77777777" w:rsidR="00C95EE8" w:rsidRPr="00C95EE8" w:rsidRDefault="00C95EE8" w:rsidP="00C95EE8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5.000,00</w:t>
            </w:r>
          </w:p>
        </w:tc>
      </w:tr>
    </w:tbl>
    <w:p w14:paraId="1AB09E65" w14:textId="77777777" w:rsidR="00C95EE8" w:rsidRDefault="00C95EE8" w:rsidP="00D27095">
      <w:pPr>
        <w:pStyle w:val="Standard"/>
        <w:spacing w:line="360" w:lineRule="auto"/>
        <w:ind w:left="142" w:firstLine="218"/>
        <w:jc w:val="both"/>
      </w:pPr>
    </w:p>
    <w:p w14:paraId="7384B7D5" w14:textId="5E478689" w:rsidR="00C95EE8" w:rsidRDefault="00C95EE8" w:rsidP="00C95EE8">
      <w:pPr>
        <w:pStyle w:val="Standard"/>
        <w:spacing w:line="360" w:lineRule="auto"/>
        <w:ind w:left="142"/>
        <w:jc w:val="both"/>
      </w:pPr>
      <w:r w:rsidRPr="00C95EE8">
        <w:t xml:space="preserve">Ukupno planirani prihodi i primici u iznosu od </w:t>
      </w:r>
      <w:r>
        <w:t>355.600</w:t>
      </w:r>
      <w:r w:rsidRPr="00C95EE8">
        <w:t xml:space="preserve">,00 EUR raspodijeljeni su na planirane rashode poslovanja i rashode za nabavu nefinancijske imovine.  </w:t>
      </w:r>
    </w:p>
    <w:p w14:paraId="5DD8C61C" w14:textId="77777777" w:rsidR="00C95EE8" w:rsidRDefault="00C95EE8" w:rsidP="00C95EE8">
      <w:pPr>
        <w:pStyle w:val="Standard"/>
        <w:spacing w:line="360" w:lineRule="auto"/>
        <w:ind w:left="142"/>
        <w:jc w:val="both"/>
      </w:pPr>
    </w:p>
    <w:p w14:paraId="06CC06D0" w14:textId="7A8CCCC9" w:rsidR="00C95EE8" w:rsidRDefault="00C95EE8" w:rsidP="00C95EE8">
      <w:pPr>
        <w:pStyle w:val="Standard"/>
        <w:spacing w:line="360" w:lineRule="auto"/>
        <w:ind w:left="142"/>
        <w:jc w:val="both"/>
      </w:pPr>
      <w:r w:rsidRPr="00C95EE8">
        <w:t>U prijedlogu Financijskog plana za 202</w:t>
      </w:r>
      <w:r>
        <w:t>5</w:t>
      </w:r>
      <w:r w:rsidRPr="00C95EE8">
        <w:t xml:space="preserve">. godinu planirani su sljedeći </w:t>
      </w:r>
      <w:r>
        <w:t xml:space="preserve">izvori </w:t>
      </w:r>
      <w:r w:rsidRPr="00C95EE8">
        <w:t>prihod</w:t>
      </w:r>
      <w:r>
        <w:t>a</w:t>
      </w:r>
      <w:r w:rsidRPr="00C95EE8">
        <w:t xml:space="preserve">: </w:t>
      </w:r>
    </w:p>
    <w:p w14:paraId="6D3E4FBC" w14:textId="7AC40391" w:rsidR="00C95EE8" w:rsidRDefault="00C95EE8" w:rsidP="00DE34F4">
      <w:pPr>
        <w:pStyle w:val="Standard"/>
        <w:numPr>
          <w:ilvl w:val="0"/>
          <w:numId w:val="6"/>
        </w:numPr>
        <w:spacing w:line="360" w:lineRule="auto"/>
        <w:jc w:val="both"/>
      </w:pPr>
      <w:r>
        <w:t xml:space="preserve">Kapitalne donacije od neprofitnih organizacija (3.000,00 eura) </w:t>
      </w:r>
    </w:p>
    <w:p w14:paraId="52572532" w14:textId="737A598F" w:rsidR="00DE34F4" w:rsidRDefault="00C95EE8" w:rsidP="00DE34F4">
      <w:pPr>
        <w:pStyle w:val="Standard"/>
        <w:numPr>
          <w:ilvl w:val="0"/>
          <w:numId w:val="6"/>
        </w:numPr>
        <w:spacing w:line="360" w:lineRule="auto"/>
        <w:jc w:val="both"/>
      </w:pPr>
      <w:r w:rsidRPr="00C95EE8">
        <w:t xml:space="preserve">Ministarstvo znanosti i obrazovanja koje sufinancira program </w:t>
      </w:r>
      <w:proofErr w:type="spellStart"/>
      <w:r w:rsidRPr="00C95EE8">
        <w:t>predškole</w:t>
      </w:r>
      <w:proofErr w:type="spellEnd"/>
      <w:r w:rsidRPr="00C95EE8">
        <w:t xml:space="preserve"> </w:t>
      </w:r>
      <w:r>
        <w:t>(900,00 eura)</w:t>
      </w:r>
    </w:p>
    <w:p w14:paraId="3CD2CA4A" w14:textId="05561458" w:rsidR="00C95EE8" w:rsidRDefault="00C95EE8" w:rsidP="00DE34F4">
      <w:pPr>
        <w:pStyle w:val="Standard"/>
        <w:numPr>
          <w:ilvl w:val="0"/>
          <w:numId w:val="6"/>
        </w:numPr>
        <w:spacing w:line="360" w:lineRule="auto"/>
        <w:jc w:val="both"/>
      </w:pPr>
      <w:r w:rsidRPr="00C95EE8">
        <w:lastRenderedPageBreak/>
        <w:t>Prihodi od roditelja temeljem pruženih usluga (</w:t>
      </w:r>
      <w:r>
        <w:t>58</w:t>
      </w:r>
      <w:r w:rsidRPr="00C95EE8">
        <w:t>.</w:t>
      </w:r>
      <w:r>
        <w:t>1</w:t>
      </w:r>
      <w:r w:rsidRPr="00C95EE8">
        <w:t xml:space="preserve">00,00 </w:t>
      </w:r>
      <w:r>
        <w:t>eura</w:t>
      </w:r>
      <w:r w:rsidRPr="00C95EE8">
        <w:t xml:space="preserve">) </w:t>
      </w:r>
    </w:p>
    <w:p w14:paraId="0508CE23" w14:textId="102F46AA" w:rsidR="00C95EE8" w:rsidRDefault="00C95EE8" w:rsidP="00DE34F4">
      <w:pPr>
        <w:pStyle w:val="Standard"/>
        <w:numPr>
          <w:ilvl w:val="0"/>
          <w:numId w:val="6"/>
        </w:numPr>
        <w:spacing w:line="360" w:lineRule="auto"/>
        <w:jc w:val="both"/>
      </w:pPr>
      <w:r w:rsidRPr="00C95EE8">
        <w:t>Prihodi iz općinskog proračuna (2</w:t>
      </w:r>
      <w:r>
        <w:t>93</w:t>
      </w:r>
      <w:r w:rsidRPr="00C95EE8">
        <w:t>.</w:t>
      </w:r>
      <w:r>
        <w:t>6</w:t>
      </w:r>
      <w:r w:rsidRPr="00C95EE8">
        <w:t xml:space="preserve">00,00 </w:t>
      </w:r>
      <w:r>
        <w:t>eura</w:t>
      </w:r>
      <w:r w:rsidRPr="00C95EE8">
        <w:t xml:space="preserve">)  </w:t>
      </w:r>
    </w:p>
    <w:p w14:paraId="36723329" w14:textId="77777777" w:rsidR="00DE34F4" w:rsidRDefault="00DE34F4" w:rsidP="00DE34F4">
      <w:pPr>
        <w:pStyle w:val="Standard"/>
        <w:spacing w:line="360" w:lineRule="auto"/>
        <w:rPr>
          <w:b/>
          <w:bCs/>
          <w:u w:val="single"/>
        </w:rPr>
      </w:pPr>
    </w:p>
    <w:p w14:paraId="604AC100" w14:textId="77777777" w:rsidR="00DE34F4" w:rsidRDefault="00DE34F4" w:rsidP="00DE34F4">
      <w:pPr>
        <w:pStyle w:val="Standard"/>
        <w:spacing w:line="360" w:lineRule="auto"/>
        <w:rPr>
          <w:b/>
          <w:bCs/>
          <w:u w:val="single"/>
        </w:rPr>
      </w:pPr>
    </w:p>
    <w:p w14:paraId="74F1BA93" w14:textId="56218DD3" w:rsidR="00DE34F4" w:rsidRDefault="00DE34F4" w:rsidP="00DE34F4">
      <w:pPr>
        <w:pStyle w:val="Standard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OBRAZLOŽENJE POSEBNOG DIJELA</w:t>
      </w:r>
    </w:p>
    <w:p w14:paraId="3F8D9C98" w14:textId="77777777" w:rsidR="00C95EE8" w:rsidRDefault="00C95EE8" w:rsidP="00C95EE8">
      <w:pPr>
        <w:pStyle w:val="Standard"/>
        <w:spacing w:line="360" w:lineRule="auto"/>
        <w:ind w:left="142"/>
        <w:jc w:val="both"/>
      </w:pPr>
    </w:p>
    <w:p w14:paraId="532B1A4F" w14:textId="77777777" w:rsidR="00DE34F4" w:rsidRDefault="00C95EE8" w:rsidP="00C95EE8">
      <w:pPr>
        <w:pStyle w:val="Standard"/>
        <w:spacing w:line="360" w:lineRule="auto"/>
        <w:ind w:left="142"/>
        <w:jc w:val="both"/>
      </w:pPr>
      <w:r w:rsidRPr="00C95EE8">
        <w:t xml:space="preserve">Ukupni rashodi i izdaci predloženi u iznosu od </w:t>
      </w:r>
      <w:r>
        <w:t>355.600</w:t>
      </w:r>
      <w:r w:rsidRPr="00C95EE8">
        <w:t xml:space="preserve">,00 </w:t>
      </w:r>
      <w:r>
        <w:t>eura</w:t>
      </w:r>
      <w:r w:rsidRPr="00C95EE8">
        <w:t xml:space="preserve"> iskazani su prema programskoj, ekonomskoj, funkcijskoj klasifikaciji i izvorima financiranja.  </w:t>
      </w:r>
    </w:p>
    <w:p w14:paraId="20EFA911" w14:textId="77777777" w:rsidR="00DE34F4" w:rsidRDefault="00DE34F4" w:rsidP="00C95EE8">
      <w:pPr>
        <w:pStyle w:val="Standard"/>
        <w:spacing w:line="360" w:lineRule="auto"/>
        <w:ind w:left="142"/>
        <w:jc w:val="both"/>
      </w:pPr>
    </w:p>
    <w:p w14:paraId="46B140A5" w14:textId="7E03F2F3" w:rsidR="00DE34F4" w:rsidRPr="00DE34F4" w:rsidRDefault="00C95EE8" w:rsidP="00C95EE8">
      <w:pPr>
        <w:pStyle w:val="Standard"/>
        <w:spacing w:line="360" w:lineRule="auto"/>
        <w:ind w:left="142"/>
        <w:jc w:val="both"/>
        <w:rPr>
          <w:b/>
          <w:bCs/>
        </w:rPr>
      </w:pPr>
      <w:r w:rsidRPr="00DE34F4">
        <w:rPr>
          <w:b/>
          <w:bCs/>
        </w:rPr>
        <w:t xml:space="preserve">1. Redovna djelatnost Dječji vrtić Vojnić: </w:t>
      </w:r>
      <w:r w:rsidR="00DE34F4" w:rsidRPr="00DE34F4">
        <w:rPr>
          <w:b/>
          <w:bCs/>
        </w:rPr>
        <w:t>355.600,00</w:t>
      </w:r>
      <w:r w:rsidRPr="00DE34F4">
        <w:rPr>
          <w:b/>
          <w:bCs/>
        </w:rPr>
        <w:t xml:space="preserve"> </w:t>
      </w:r>
      <w:r w:rsidR="00DE34F4" w:rsidRPr="00DE34F4">
        <w:rPr>
          <w:b/>
          <w:bCs/>
        </w:rPr>
        <w:t>eura</w:t>
      </w:r>
      <w:r w:rsidRPr="00DE34F4">
        <w:rPr>
          <w:b/>
          <w:bCs/>
        </w:rPr>
        <w:t xml:space="preserve"> </w:t>
      </w:r>
    </w:p>
    <w:p w14:paraId="3A63C680" w14:textId="77777777" w:rsidR="00DE34F4" w:rsidRDefault="00DE34F4" w:rsidP="00C95EE8">
      <w:pPr>
        <w:pStyle w:val="Standard"/>
        <w:spacing w:line="360" w:lineRule="auto"/>
        <w:ind w:left="142"/>
        <w:jc w:val="both"/>
      </w:pPr>
    </w:p>
    <w:p w14:paraId="71D04084" w14:textId="4A2349D5" w:rsidR="00DE34F4" w:rsidRDefault="00C95EE8" w:rsidP="00C95EE8">
      <w:pPr>
        <w:pStyle w:val="Standard"/>
        <w:spacing w:line="360" w:lineRule="auto"/>
        <w:ind w:left="142"/>
        <w:jc w:val="both"/>
      </w:pPr>
      <w:r w:rsidRPr="00C95EE8">
        <w:t xml:space="preserve">Rashodi za zaposlene </w:t>
      </w:r>
      <w:r w:rsidR="00DE34F4">
        <w:t>250</w:t>
      </w:r>
      <w:r w:rsidRPr="00C95EE8">
        <w:t>.</w:t>
      </w:r>
      <w:r w:rsidR="00DE34F4">
        <w:t>1</w:t>
      </w:r>
      <w:r w:rsidRPr="00C95EE8">
        <w:t xml:space="preserve">00,00 </w:t>
      </w:r>
      <w:r w:rsidR="00DE34F4">
        <w:t>eura</w:t>
      </w:r>
      <w:r w:rsidRPr="00C95EE8">
        <w:t xml:space="preserve"> </w:t>
      </w:r>
    </w:p>
    <w:p w14:paraId="2F737805" w14:textId="12E3C74B" w:rsidR="00DE34F4" w:rsidRDefault="00C95EE8" w:rsidP="00C95EE8">
      <w:pPr>
        <w:pStyle w:val="Standard"/>
        <w:spacing w:line="360" w:lineRule="auto"/>
        <w:ind w:left="142"/>
        <w:jc w:val="both"/>
      </w:pPr>
      <w:r w:rsidRPr="00C95EE8">
        <w:t xml:space="preserve">Financijski rashodi </w:t>
      </w:r>
      <w:r w:rsidR="00DE34F4">
        <w:t>2</w:t>
      </w:r>
      <w:r w:rsidRPr="00C95EE8">
        <w:t xml:space="preserve">00,00 </w:t>
      </w:r>
      <w:r w:rsidR="00DE34F4">
        <w:t>eura</w:t>
      </w:r>
      <w:r w:rsidRPr="00C95EE8">
        <w:t xml:space="preserve"> </w:t>
      </w:r>
    </w:p>
    <w:p w14:paraId="7CCBAEAD" w14:textId="7D5DA252" w:rsidR="00DE34F4" w:rsidRDefault="00C95EE8" w:rsidP="00C95EE8">
      <w:pPr>
        <w:pStyle w:val="Standard"/>
        <w:spacing w:line="360" w:lineRule="auto"/>
        <w:ind w:left="142"/>
        <w:jc w:val="both"/>
      </w:pPr>
      <w:r w:rsidRPr="00C95EE8">
        <w:t xml:space="preserve">Materijalni rashodi </w:t>
      </w:r>
      <w:r w:rsidR="00DE34F4">
        <w:t>92</w:t>
      </w:r>
      <w:r w:rsidRPr="00C95EE8">
        <w:t>.</w:t>
      </w:r>
      <w:r w:rsidR="00DE34F4">
        <w:t>3</w:t>
      </w:r>
      <w:r w:rsidRPr="00C95EE8">
        <w:t xml:space="preserve">00,00 </w:t>
      </w:r>
      <w:r w:rsidR="00DE34F4">
        <w:t>eura</w:t>
      </w:r>
      <w:r w:rsidRPr="00C95EE8">
        <w:t xml:space="preserve"> </w:t>
      </w:r>
    </w:p>
    <w:p w14:paraId="43A9C002" w14:textId="4D14147B" w:rsidR="00DE34F4" w:rsidRDefault="00DE34F4" w:rsidP="00C95EE8">
      <w:pPr>
        <w:pStyle w:val="Standard"/>
        <w:spacing w:line="360" w:lineRule="auto"/>
        <w:ind w:left="142"/>
        <w:jc w:val="both"/>
      </w:pPr>
      <w:r>
        <w:t>Rashodi za nabavu dugotrajne imovine (Opremanje vrtića) 13.000,00 eura</w:t>
      </w:r>
    </w:p>
    <w:p w14:paraId="69A91F29" w14:textId="77777777" w:rsidR="00DE34F4" w:rsidRDefault="00DE34F4" w:rsidP="00C95EE8">
      <w:pPr>
        <w:pStyle w:val="Standard"/>
        <w:spacing w:line="360" w:lineRule="auto"/>
        <w:ind w:left="142"/>
        <w:jc w:val="both"/>
      </w:pPr>
    </w:p>
    <w:p w14:paraId="12DE658E" w14:textId="0441FD1A" w:rsidR="00DE34F4" w:rsidRDefault="00C95EE8" w:rsidP="00C95EE8">
      <w:pPr>
        <w:pStyle w:val="Standard"/>
        <w:spacing w:line="360" w:lineRule="auto"/>
        <w:ind w:left="142"/>
        <w:jc w:val="both"/>
      </w:pPr>
      <w:r w:rsidRPr="00C95EE8">
        <w:t>Sredstva za plaće zaposlenih planirana su u skladu sa brojem zaposlenih i koeficijentima radnih mjesta. Na temelju Zakona o predškolskom odgoju i obrazovanju  (NN 57/22</w:t>
      </w:r>
      <w:r w:rsidR="00DE34F4">
        <w:t>, 101/23</w:t>
      </w:r>
      <w:r w:rsidRPr="00C95EE8">
        <w:t xml:space="preserve">) vrtić je obvezan zaposliti ravnatelja na puno radno vrijeme i zdravstvenog voditelja na 4 sata tjedno te voditelja programa </w:t>
      </w:r>
      <w:proofErr w:type="spellStart"/>
      <w:r w:rsidRPr="00C95EE8">
        <w:t>predškole</w:t>
      </w:r>
      <w:proofErr w:type="spellEnd"/>
      <w:r w:rsidRPr="00C95EE8">
        <w:t xml:space="preserve"> koji je zaposlen na nepuno radno vrijem</w:t>
      </w:r>
      <w:r w:rsidR="00DE34F4">
        <w:t>e.</w:t>
      </w:r>
    </w:p>
    <w:p w14:paraId="6F78ADE7" w14:textId="77777777" w:rsidR="00DE34F4" w:rsidRDefault="00C95EE8" w:rsidP="00C95EE8">
      <w:pPr>
        <w:pStyle w:val="Standard"/>
        <w:spacing w:line="360" w:lineRule="auto"/>
        <w:ind w:left="142"/>
        <w:jc w:val="both"/>
      </w:pPr>
      <w:r w:rsidRPr="00C95EE8">
        <w:t>Materijalni i financijski troškovi te troškovi za nefinancijsku imovinu planirani su na osnovu realnih troškova proračuna za 202</w:t>
      </w:r>
      <w:r w:rsidR="00DE34F4">
        <w:t>5</w:t>
      </w:r>
      <w:r w:rsidRPr="00C95EE8">
        <w:t xml:space="preserve">. godinu.  </w:t>
      </w:r>
    </w:p>
    <w:p w14:paraId="39FD9808" w14:textId="77777777" w:rsidR="00DE34F4" w:rsidRDefault="00DE34F4" w:rsidP="00C95EE8">
      <w:pPr>
        <w:pStyle w:val="Standard"/>
        <w:spacing w:line="360" w:lineRule="auto"/>
        <w:ind w:left="142"/>
        <w:jc w:val="both"/>
      </w:pPr>
    </w:p>
    <w:p w14:paraId="536836B8" w14:textId="03B46118" w:rsidR="00C95EE8" w:rsidRPr="00A208A1" w:rsidRDefault="00C95EE8" w:rsidP="00C95EE8">
      <w:pPr>
        <w:pStyle w:val="Standard"/>
        <w:spacing w:line="360" w:lineRule="auto"/>
        <w:ind w:left="142"/>
        <w:jc w:val="both"/>
      </w:pPr>
      <w:r w:rsidRPr="00C95EE8">
        <w:t>Financijski plan je uravnotežen i ima svoju viziju i cilj, a to je dječji vrtić kao mjesto sretnog odrastanja i življenja u sigurnom, ugodnom i kvalitetnom okruženju koje će omogućiti djetetu uvjete i pružiti poticaje da razvija sve svoje sposobnosti i svojstva osobnosti (optimalni, tjelesni, socijalni, emocionalni, intelektualni i moralni razvoj) i proširuje svoja iskustva, izgrađuje saznanje o sebi i drugim ljudima u svijetu.</w:t>
      </w:r>
    </w:p>
    <w:p w14:paraId="7598DD0B" w14:textId="77777777" w:rsidR="00725F1B" w:rsidRDefault="00725F1B" w:rsidP="00725F1B">
      <w:pPr>
        <w:pStyle w:val="Standard"/>
      </w:pPr>
    </w:p>
    <w:p w14:paraId="0464F2F3" w14:textId="17C12244" w:rsidR="00725F1B" w:rsidRDefault="00725F1B" w:rsidP="00AE059A">
      <w:pPr>
        <w:pStyle w:val="Standard"/>
        <w:spacing w:line="480" w:lineRule="auto"/>
        <w:jc w:val="right"/>
      </w:pPr>
      <w:r>
        <w:t>Ravnateljica Dječjeg vrtića Vojnić</w:t>
      </w:r>
    </w:p>
    <w:p w14:paraId="779FA8FD" w14:textId="0B1F0FCE" w:rsidR="00725F1B" w:rsidRDefault="001324EC" w:rsidP="00AE059A">
      <w:pPr>
        <w:pStyle w:val="Standard"/>
        <w:spacing w:line="480" w:lineRule="auto"/>
        <w:ind w:left="5664" w:firstLine="708"/>
        <w:jc w:val="center"/>
      </w:pPr>
      <w:r>
        <w:t xml:space="preserve">Viktorija </w:t>
      </w:r>
      <w:proofErr w:type="spellStart"/>
      <w:r w:rsidR="00EC5187">
        <w:t>Bižić</w:t>
      </w:r>
      <w:proofErr w:type="spellEnd"/>
    </w:p>
    <w:sectPr w:rsidR="00725F1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0E0"/>
    <w:multiLevelType w:val="hybridMultilevel"/>
    <w:tmpl w:val="6FD6DC98"/>
    <w:lvl w:ilvl="0" w:tplc="ABD0CF2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6555E25"/>
    <w:multiLevelType w:val="multilevel"/>
    <w:tmpl w:val="1AF6CC1A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95F70"/>
    <w:multiLevelType w:val="multilevel"/>
    <w:tmpl w:val="342848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A1D95"/>
    <w:multiLevelType w:val="hybridMultilevel"/>
    <w:tmpl w:val="0A56FC28"/>
    <w:lvl w:ilvl="0" w:tplc="ABD0C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958651">
    <w:abstractNumId w:val="1"/>
  </w:num>
  <w:num w:numId="2" w16cid:durableId="201477642">
    <w:abstractNumId w:val="2"/>
  </w:num>
  <w:num w:numId="3" w16cid:durableId="1025398210">
    <w:abstractNumId w:val="1"/>
    <w:lvlOverride w:ilvl="0">
      <w:startOverride w:val="1"/>
    </w:lvlOverride>
  </w:num>
  <w:num w:numId="4" w16cid:durableId="321275668">
    <w:abstractNumId w:val="2"/>
    <w:lvlOverride w:ilvl="0">
      <w:startOverride w:val="1"/>
    </w:lvlOverride>
  </w:num>
  <w:num w:numId="5" w16cid:durableId="2054495146">
    <w:abstractNumId w:val="3"/>
  </w:num>
  <w:num w:numId="6" w16cid:durableId="112919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F1B"/>
    <w:rsid w:val="00027676"/>
    <w:rsid w:val="00043927"/>
    <w:rsid w:val="00066546"/>
    <w:rsid w:val="00080BE8"/>
    <w:rsid w:val="0008421D"/>
    <w:rsid w:val="000843AC"/>
    <w:rsid w:val="00092B83"/>
    <w:rsid w:val="0009361B"/>
    <w:rsid w:val="00096748"/>
    <w:rsid w:val="000A363C"/>
    <w:rsid w:val="000A47A6"/>
    <w:rsid w:val="000B0027"/>
    <w:rsid w:val="000D2EF8"/>
    <w:rsid w:val="000E1612"/>
    <w:rsid w:val="00113B4F"/>
    <w:rsid w:val="001208B3"/>
    <w:rsid w:val="00124E0D"/>
    <w:rsid w:val="00130C97"/>
    <w:rsid w:val="001324EC"/>
    <w:rsid w:val="00133AB7"/>
    <w:rsid w:val="001352D9"/>
    <w:rsid w:val="00141471"/>
    <w:rsid w:val="00154399"/>
    <w:rsid w:val="00170A43"/>
    <w:rsid w:val="0019088E"/>
    <w:rsid w:val="001B13DA"/>
    <w:rsid w:val="001B50A9"/>
    <w:rsid w:val="001D545D"/>
    <w:rsid w:val="0020000B"/>
    <w:rsid w:val="00201413"/>
    <w:rsid w:val="00212C9B"/>
    <w:rsid w:val="002134EE"/>
    <w:rsid w:val="00243A3F"/>
    <w:rsid w:val="00244F73"/>
    <w:rsid w:val="00250978"/>
    <w:rsid w:val="00261043"/>
    <w:rsid w:val="002679CB"/>
    <w:rsid w:val="00283146"/>
    <w:rsid w:val="00294A5C"/>
    <w:rsid w:val="002953B2"/>
    <w:rsid w:val="002B5527"/>
    <w:rsid w:val="002C1920"/>
    <w:rsid w:val="002D6808"/>
    <w:rsid w:val="002E223E"/>
    <w:rsid w:val="00304BA3"/>
    <w:rsid w:val="0031431E"/>
    <w:rsid w:val="00316ABA"/>
    <w:rsid w:val="00325AF0"/>
    <w:rsid w:val="003339CE"/>
    <w:rsid w:val="00344048"/>
    <w:rsid w:val="00370F70"/>
    <w:rsid w:val="00372AE7"/>
    <w:rsid w:val="00376ADA"/>
    <w:rsid w:val="00385886"/>
    <w:rsid w:val="003A3BAE"/>
    <w:rsid w:val="003C4B4A"/>
    <w:rsid w:val="003C50F5"/>
    <w:rsid w:val="003E1F18"/>
    <w:rsid w:val="003E338E"/>
    <w:rsid w:val="003E5B8C"/>
    <w:rsid w:val="003E7824"/>
    <w:rsid w:val="003F7E3B"/>
    <w:rsid w:val="00417D3C"/>
    <w:rsid w:val="0042065E"/>
    <w:rsid w:val="00433928"/>
    <w:rsid w:val="00441852"/>
    <w:rsid w:val="00446C8D"/>
    <w:rsid w:val="00446EC9"/>
    <w:rsid w:val="004502A0"/>
    <w:rsid w:val="004506D8"/>
    <w:rsid w:val="0045092F"/>
    <w:rsid w:val="00454C99"/>
    <w:rsid w:val="00464028"/>
    <w:rsid w:val="0047538A"/>
    <w:rsid w:val="00487D25"/>
    <w:rsid w:val="0049347C"/>
    <w:rsid w:val="004A0636"/>
    <w:rsid w:val="004A1C52"/>
    <w:rsid w:val="004A55EF"/>
    <w:rsid w:val="004C1A01"/>
    <w:rsid w:val="004C7476"/>
    <w:rsid w:val="004D24F6"/>
    <w:rsid w:val="004D5357"/>
    <w:rsid w:val="004E05B9"/>
    <w:rsid w:val="004F0722"/>
    <w:rsid w:val="004F25AD"/>
    <w:rsid w:val="00503132"/>
    <w:rsid w:val="005058E4"/>
    <w:rsid w:val="005059E0"/>
    <w:rsid w:val="00524E8E"/>
    <w:rsid w:val="0054531C"/>
    <w:rsid w:val="00561B9B"/>
    <w:rsid w:val="005749AA"/>
    <w:rsid w:val="00583EEA"/>
    <w:rsid w:val="0059206E"/>
    <w:rsid w:val="005A3BCE"/>
    <w:rsid w:val="005A61AA"/>
    <w:rsid w:val="005D24DA"/>
    <w:rsid w:val="005E17DB"/>
    <w:rsid w:val="005E5AFD"/>
    <w:rsid w:val="005F7F7A"/>
    <w:rsid w:val="006221EB"/>
    <w:rsid w:val="006233C6"/>
    <w:rsid w:val="0062408D"/>
    <w:rsid w:val="00664268"/>
    <w:rsid w:val="00665A00"/>
    <w:rsid w:val="00683D70"/>
    <w:rsid w:val="00693BA4"/>
    <w:rsid w:val="006A5CD2"/>
    <w:rsid w:val="006C108F"/>
    <w:rsid w:val="006C1FBF"/>
    <w:rsid w:val="006C6B84"/>
    <w:rsid w:val="006D162A"/>
    <w:rsid w:val="006E0B11"/>
    <w:rsid w:val="00701576"/>
    <w:rsid w:val="0071759F"/>
    <w:rsid w:val="00725F1B"/>
    <w:rsid w:val="00746C07"/>
    <w:rsid w:val="00760BFF"/>
    <w:rsid w:val="007702A5"/>
    <w:rsid w:val="00772AEA"/>
    <w:rsid w:val="00775C48"/>
    <w:rsid w:val="00776759"/>
    <w:rsid w:val="0078051F"/>
    <w:rsid w:val="00794A66"/>
    <w:rsid w:val="007D3D88"/>
    <w:rsid w:val="007E4FC5"/>
    <w:rsid w:val="007E7C13"/>
    <w:rsid w:val="00800BC5"/>
    <w:rsid w:val="00803B6E"/>
    <w:rsid w:val="0080596C"/>
    <w:rsid w:val="00815F6E"/>
    <w:rsid w:val="00820BBA"/>
    <w:rsid w:val="008320D9"/>
    <w:rsid w:val="00833227"/>
    <w:rsid w:val="00833E92"/>
    <w:rsid w:val="00834D4F"/>
    <w:rsid w:val="00836BB8"/>
    <w:rsid w:val="00846129"/>
    <w:rsid w:val="00860B12"/>
    <w:rsid w:val="0086204A"/>
    <w:rsid w:val="0086782E"/>
    <w:rsid w:val="00873B8D"/>
    <w:rsid w:val="008A2F54"/>
    <w:rsid w:val="008A3D5B"/>
    <w:rsid w:val="008B0AE2"/>
    <w:rsid w:val="008B6C29"/>
    <w:rsid w:val="008C7277"/>
    <w:rsid w:val="008F7A15"/>
    <w:rsid w:val="0090420C"/>
    <w:rsid w:val="009225E1"/>
    <w:rsid w:val="00927892"/>
    <w:rsid w:val="009337FB"/>
    <w:rsid w:val="009378FF"/>
    <w:rsid w:val="0094169F"/>
    <w:rsid w:val="00942DF6"/>
    <w:rsid w:val="009458D6"/>
    <w:rsid w:val="00947467"/>
    <w:rsid w:val="00991E94"/>
    <w:rsid w:val="00997514"/>
    <w:rsid w:val="009A0384"/>
    <w:rsid w:val="009A0B94"/>
    <w:rsid w:val="009B544C"/>
    <w:rsid w:val="009C4F7C"/>
    <w:rsid w:val="009D11D2"/>
    <w:rsid w:val="009D28CF"/>
    <w:rsid w:val="009D7773"/>
    <w:rsid w:val="009E32DA"/>
    <w:rsid w:val="009E4E85"/>
    <w:rsid w:val="009F1CDD"/>
    <w:rsid w:val="009F4345"/>
    <w:rsid w:val="00A11375"/>
    <w:rsid w:val="00A122A1"/>
    <w:rsid w:val="00A21123"/>
    <w:rsid w:val="00A21988"/>
    <w:rsid w:val="00A23F0F"/>
    <w:rsid w:val="00A32C9D"/>
    <w:rsid w:val="00A53DCA"/>
    <w:rsid w:val="00A579F8"/>
    <w:rsid w:val="00A74961"/>
    <w:rsid w:val="00A81C40"/>
    <w:rsid w:val="00A86567"/>
    <w:rsid w:val="00AA13C6"/>
    <w:rsid w:val="00AB20C7"/>
    <w:rsid w:val="00AC0785"/>
    <w:rsid w:val="00AE059A"/>
    <w:rsid w:val="00AE2447"/>
    <w:rsid w:val="00AE3980"/>
    <w:rsid w:val="00AF2AE8"/>
    <w:rsid w:val="00B02A72"/>
    <w:rsid w:val="00B1773D"/>
    <w:rsid w:val="00B3344F"/>
    <w:rsid w:val="00B6443C"/>
    <w:rsid w:val="00B967AD"/>
    <w:rsid w:val="00BB724B"/>
    <w:rsid w:val="00BC2CB3"/>
    <w:rsid w:val="00C14335"/>
    <w:rsid w:val="00C25185"/>
    <w:rsid w:val="00C266C2"/>
    <w:rsid w:val="00C302DC"/>
    <w:rsid w:val="00C4241A"/>
    <w:rsid w:val="00C44870"/>
    <w:rsid w:val="00C94130"/>
    <w:rsid w:val="00C95EE8"/>
    <w:rsid w:val="00CA5A01"/>
    <w:rsid w:val="00CC0D0B"/>
    <w:rsid w:val="00CD1805"/>
    <w:rsid w:val="00CE615F"/>
    <w:rsid w:val="00D211FB"/>
    <w:rsid w:val="00D27095"/>
    <w:rsid w:val="00D344F3"/>
    <w:rsid w:val="00D429B0"/>
    <w:rsid w:val="00D466C4"/>
    <w:rsid w:val="00D46971"/>
    <w:rsid w:val="00D658CF"/>
    <w:rsid w:val="00D66D0B"/>
    <w:rsid w:val="00D84AA3"/>
    <w:rsid w:val="00DC7958"/>
    <w:rsid w:val="00DE06B8"/>
    <w:rsid w:val="00DE34F4"/>
    <w:rsid w:val="00E12845"/>
    <w:rsid w:val="00E25517"/>
    <w:rsid w:val="00E2671E"/>
    <w:rsid w:val="00E3138D"/>
    <w:rsid w:val="00E90C09"/>
    <w:rsid w:val="00EA31F1"/>
    <w:rsid w:val="00EA382B"/>
    <w:rsid w:val="00EB1B51"/>
    <w:rsid w:val="00EC5187"/>
    <w:rsid w:val="00ED1ECA"/>
    <w:rsid w:val="00EF1780"/>
    <w:rsid w:val="00EF3D40"/>
    <w:rsid w:val="00F03AB8"/>
    <w:rsid w:val="00F06ACE"/>
    <w:rsid w:val="00F234FF"/>
    <w:rsid w:val="00F30226"/>
    <w:rsid w:val="00F3469F"/>
    <w:rsid w:val="00F523FC"/>
    <w:rsid w:val="00F54F32"/>
    <w:rsid w:val="00F553C4"/>
    <w:rsid w:val="00F5774F"/>
    <w:rsid w:val="00F614FF"/>
    <w:rsid w:val="00F86EF9"/>
    <w:rsid w:val="00F968A3"/>
    <w:rsid w:val="00FA0B17"/>
    <w:rsid w:val="00FA474C"/>
    <w:rsid w:val="00FA4A18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EAB0"/>
  <w15:chartTrackingRefBased/>
  <w15:docId w15:val="{300C483A-85C0-4CDD-B41E-9EE9A0A3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5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25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4">
    <w:name w:val="WWNum4"/>
    <w:basedOn w:val="Bezpopisa"/>
    <w:rsid w:val="00725F1B"/>
    <w:pPr>
      <w:numPr>
        <w:numId w:val="1"/>
      </w:numPr>
    </w:pPr>
  </w:style>
  <w:style w:type="numbering" w:customStyle="1" w:styleId="WWNum5">
    <w:name w:val="WWNum5"/>
    <w:basedOn w:val="Bezpopisa"/>
    <w:rsid w:val="00725F1B"/>
    <w:pPr>
      <w:numPr>
        <w:numId w:val="2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9361B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361B"/>
    <w:rPr>
      <w:rFonts w:ascii="Segoe UI" w:eastAsia="SimSun" w:hAnsi="Segoe UI" w:cs="Mangal"/>
      <w:kern w:val="3"/>
      <w:sz w:val="18"/>
      <w:szCs w:val="16"/>
      <w:lang w:eastAsia="zh-CN" w:bidi="hi-IN"/>
    </w:rPr>
  </w:style>
  <w:style w:type="table" w:styleId="Reetkatablice">
    <w:name w:val="Table Grid"/>
    <w:basedOn w:val="Obinatablica"/>
    <w:uiPriority w:val="39"/>
    <w:rsid w:val="0028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83322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planinac</dc:creator>
  <cp:keywords/>
  <dc:description/>
  <cp:lastModifiedBy>Karolina Sikljan</cp:lastModifiedBy>
  <cp:revision>7</cp:revision>
  <cp:lastPrinted>2024-12-11T13:56:00Z</cp:lastPrinted>
  <dcterms:created xsi:type="dcterms:W3CDTF">2024-05-22T09:00:00Z</dcterms:created>
  <dcterms:modified xsi:type="dcterms:W3CDTF">2024-12-23T10:10:00Z</dcterms:modified>
</cp:coreProperties>
</file>