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4884">
      <w:pP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lang w:eastAsia="hr-HR" w:bidi="ar-SA"/>
        </w:rPr>
        <w:drawing>
          <wp:inline distT="0" distB="0" distL="0" distR="0">
            <wp:extent cx="4572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BE6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39A3561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4A29FCE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47D725B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VOJNIĆ</w:t>
      </w:r>
    </w:p>
    <w:p w14:paraId="23CFDA5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STARČEVIĆEV TRG 4</w:t>
      </w:r>
    </w:p>
    <w:p w14:paraId="77F8202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47220 VOJNIĆ</w:t>
      </w:r>
    </w:p>
    <w:p w14:paraId="04F69599">
      <w:pPr>
        <w:rPr>
          <w:rFonts w:hint="default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</w:rPr>
        <w:t xml:space="preserve">Vojnić, </w:t>
      </w:r>
      <w:r>
        <w:rPr>
          <w:rFonts w:hint="default"/>
          <w:color w:val="000000"/>
          <w:sz w:val="22"/>
          <w:szCs w:val="22"/>
          <w:lang w:val="hr-HR"/>
        </w:rPr>
        <w:t>19.03.2025.</w:t>
      </w:r>
    </w:p>
    <w:p w14:paraId="02D5B3D3">
      <w:pPr>
        <w:rPr>
          <w:rFonts w:hint="default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</w:rPr>
        <w:t>KLASA:</w:t>
      </w:r>
      <w:r>
        <w:rPr>
          <w:rFonts w:hint="default"/>
          <w:color w:val="000000"/>
          <w:sz w:val="22"/>
          <w:szCs w:val="22"/>
          <w:lang w:val="hr-HR"/>
        </w:rPr>
        <w:t>400-09/25-01/01</w:t>
      </w:r>
    </w:p>
    <w:p w14:paraId="5B6063B1">
      <w:pPr>
        <w:rPr>
          <w:rFonts w:hint="default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</w:rPr>
        <w:t xml:space="preserve">URBROJ: </w:t>
      </w:r>
      <w:r>
        <w:rPr>
          <w:rFonts w:hint="default"/>
          <w:color w:val="000000"/>
          <w:sz w:val="22"/>
          <w:szCs w:val="22"/>
          <w:lang w:val="hr-HR"/>
        </w:rPr>
        <w:t>2133-83-01-25-09</w:t>
      </w:r>
      <w:bookmarkStart w:id="0" w:name="_GoBack"/>
      <w:bookmarkEnd w:id="0"/>
    </w:p>
    <w:p w14:paraId="1BDD666E">
      <w:pPr>
        <w:pStyle w:val="6"/>
      </w:pPr>
    </w:p>
    <w:p w14:paraId="1757DA36">
      <w:pPr>
        <w:pStyle w:val="6"/>
        <w:rPr>
          <w:b/>
        </w:rPr>
      </w:pPr>
    </w:p>
    <w:p w14:paraId="3B5E6622">
      <w:pPr>
        <w:pStyle w:val="6"/>
        <w:jc w:val="center"/>
        <w:rPr>
          <w:b/>
        </w:rPr>
      </w:pPr>
    </w:p>
    <w:p w14:paraId="26A27C2C">
      <w:pPr>
        <w:pStyle w:val="6"/>
        <w:jc w:val="center"/>
        <w:rPr>
          <w:b/>
          <w:sz w:val="28"/>
          <w:szCs w:val="28"/>
        </w:rPr>
      </w:pPr>
    </w:p>
    <w:p w14:paraId="1FFFDD69">
      <w:pPr>
        <w:pStyle w:val="6"/>
        <w:jc w:val="center"/>
        <w:rPr>
          <w:b/>
          <w:sz w:val="28"/>
          <w:szCs w:val="28"/>
        </w:rPr>
      </w:pPr>
    </w:p>
    <w:p w14:paraId="15C42027">
      <w:pPr>
        <w:pStyle w:val="6"/>
        <w:jc w:val="center"/>
        <w:rPr>
          <w:b/>
          <w:sz w:val="28"/>
          <w:szCs w:val="28"/>
        </w:rPr>
      </w:pPr>
    </w:p>
    <w:p w14:paraId="75887A72">
      <w:pPr>
        <w:pStyle w:val="6"/>
        <w:jc w:val="center"/>
        <w:rPr>
          <w:b/>
          <w:sz w:val="28"/>
          <w:szCs w:val="28"/>
        </w:rPr>
      </w:pPr>
    </w:p>
    <w:p w14:paraId="79E32751">
      <w:pPr>
        <w:pStyle w:val="6"/>
        <w:jc w:val="center"/>
        <w:rPr>
          <w:b/>
          <w:sz w:val="28"/>
          <w:szCs w:val="28"/>
        </w:rPr>
      </w:pPr>
    </w:p>
    <w:p w14:paraId="66DB9ED9">
      <w:pPr>
        <w:pStyle w:val="6"/>
        <w:rPr>
          <w:b/>
          <w:sz w:val="28"/>
          <w:szCs w:val="28"/>
        </w:rPr>
      </w:pPr>
    </w:p>
    <w:p w14:paraId="7F7CA2B6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6E6B51E9">
      <w:pPr>
        <w:pStyle w:val="6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OBRAZLOŽENJE </w:t>
      </w:r>
    </w:p>
    <w:p w14:paraId="1E71A17B">
      <w:pPr>
        <w:pStyle w:val="6"/>
        <w:spacing w:line="276" w:lineRule="auto"/>
        <w:jc w:val="center"/>
        <w:rPr>
          <w:b/>
          <w:sz w:val="32"/>
          <w:szCs w:val="32"/>
        </w:rPr>
      </w:pPr>
    </w:p>
    <w:p w14:paraId="2F80F51A">
      <w:pPr>
        <w:pStyle w:val="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 GODIŠNJI IZVJEŠTAJ O IZVRŠENJU FINANCIJSKOG PLANA DJEČJEG VRTIĆA VOJNIĆA ZA 2024. GODINU</w:t>
      </w:r>
    </w:p>
    <w:p w14:paraId="030EE532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2E8A4186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7545BB5D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0727A2F4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0C2E8668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0DE16B89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0CD269F5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1290A776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702EB365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3D1CC9C0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57FAFC20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72B718AF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7FF73B60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7123936B">
      <w:pPr>
        <w:pStyle w:val="6"/>
        <w:spacing w:line="276" w:lineRule="auto"/>
        <w:jc w:val="center"/>
        <w:rPr>
          <w:b/>
          <w:sz w:val="28"/>
          <w:szCs w:val="28"/>
        </w:rPr>
      </w:pPr>
    </w:p>
    <w:p w14:paraId="1CBC90FB">
      <w:pPr>
        <w:pStyle w:val="6"/>
        <w:spacing w:line="276" w:lineRule="auto"/>
        <w:jc w:val="center"/>
        <w:rPr>
          <w:bCs/>
        </w:rPr>
      </w:pPr>
      <w:r>
        <w:rPr>
          <w:bCs/>
        </w:rPr>
        <w:t>Vojnić, ožujak 2025. godine</w:t>
      </w:r>
    </w:p>
    <w:p w14:paraId="5E6FCA98">
      <w:pPr>
        <w:pStyle w:val="6"/>
      </w:pPr>
    </w:p>
    <w:p w14:paraId="181D268D">
      <w:pPr>
        <w:pStyle w:val="6"/>
      </w:pPr>
    </w:p>
    <w:p w14:paraId="315CB68E">
      <w:pPr>
        <w:pStyle w:val="6"/>
        <w:pageBreakBefore/>
        <w:ind w:firstLine="709"/>
        <w:jc w:val="both"/>
      </w:pPr>
      <w:r>
        <w:t>Godišnji izvještaj o izvršenju financijskog plana Dječjeg vrtića Vojnić za 2024. godinu sastavljen je prema odredbama Zakona o proračunu (NN 144/21) i Pravilnika o polugodišnjem i godišnjem izvještaju o izvršenju proračuna (NN 85/23).</w:t>
      </w:r>
    </w:p>
    <w:p w14:paraId="041EC002">
      <w:pPr>
        <w:pStyle w:val="6"/>
        <w:rPr>
          <w:b/>
          <w:bCs/>
        </w:rPr>
      </w:pPr>
    </w:p>
    <w:p w14:paraId="57F45553">
      <w:pPr>
        <w:pStyle w:val="6"/>
        <w:rPr>
          <w:b/>
          <w:bCs/>
        </w:rPr>
      </w:pPr>
    </w:p>
    <w:p w14:paraId="664376D3">
      <w:pPr>
        <w:pStyle w:val="6"/>
        <w:rPr>
          <w:b/>
          <w:bCs/>
        </w:rPr>
      </w:pPr>
    </w:p>
    <w:p w14:paraId="051F0F72">
      <w:pPr>
        <w:pStyle w:val="6"/>
        <w:rPr>
          <w:b/>
          <w:bCs/>
        </w:rPr>
      </w:pPr>
      <w:r>
        <w:rPr>
          <w:b/>
          <w:bCs/>
        </w:rPr>
        <w:t>1. SADRŽAJ I OBUHVAT ISKAZIVANJA PODATAKA</w:t>
      </w:r>
    </w:p>
    <w:p w14:paraId="13A046D5">
      <w:pPr>
        <w:pStyle w:val="6"/>
      </w:pPr>
    </w:p>
    <w:p w14:paraId="37EAA8E9">
      <w:pPr>
        <w:pStyle w:val="6"/>
      </w:pPr>
    </w:p>
    <w:p w14:paraId="06CA189F">
      <w:pPr>
        <w:pStyle w:val="6"/>
        <w:ind w:firstLine="708"/>
        <w:jc w:val="both"/>
      </w:pPr>
      <w:r>
        <w:t>Sastavni dio Godišnjeg izvještaja o izvršenju Financijskog plana Dječjeg vrtića Vojnić za 2024. godinu čine:</w:t>
      </w:r>
    </w:p>
    <w:p w14:paraId="121F4AEE">
      <w:pPr>
        <w:pStyle w:val="6"/>
        <w:jc w:val="both"/>
        <w:rPr>
          <w:b/>
          <w:bCs/>
        </w:rPr>
      </w:pPr>
    </w:p>
    <w:p w14:paraId="3FD96669">
      <w:pPr>
        <w:pStyle w:val="6"/>
        <w:ind w:firstLine="708"/>
        <w:jc w:val="both"/>
      </w:pPr>
      <w:r>
        <w:rPr>
          <w:rStyle w:val="8"/>
          <w:b/>
          <w:bCs/>
        </w:rPr>
        <w:t>1.1.Opći dio financijskog plana</w:t>
      </w:r>
      <w:r>
        <w:t xml:space="preserve"> koji čini Račun prihoda i rashoda i Račun financiranja na </w:t>
      </w:r>
    </w:p>
    <w:p w14:paraId="558A44A8">
      <w:pPr>
        <w:pStyle w:val="6"/>
        <w:ind w:firstLine="708"/>
        <w:jc w:val="both"/>
      </w:pPr>
      <w:r>
        <w:t>razini odjeljka ekonomske klasifikacije</w:t>
      </w:r>
    </w:p>
    <w:p w14:paraId="3478C3B6">
      <w:pPr>
        <w:pStyle w:val="6"/>
        <w:jc w:val="both"/>
      </w:pPr>
    </w:p>
    <w:p w14:paraId="6D365D4A">
      <w:pPr>
        <w:pStyle w:val="6"/>
        <w:ind w:firstLine="708"/>
        <w:jc w:val="both"/>
      </w:pPr>
      <w:r>
        <w:rPr>
          <w:rStyle w:val="8"/>
          <w:b/>
          <w:bCs/>
        </w:rPr>
        <w:t>1.2.Posebni dio financijskog plana</w:t>
      </w:r>
      <w:r>
        <w:t xml:space="preserve"> iskazan po organizacijskoj i programskoj klasifikaciji te </w:t>
      </w:r>
    </w:p>
    <w:p w14:paraId="17F8FF6D">
      <w:pPr>
        <w:pStyle w:val="6"/>
        <w:ind w:firstLine="708"/>
        <w:jc w:val="both"/>
      </w:pPr>
      <w:r>
        <w:t>razini odjeljka ekonomske klasifikacije</w:t>
      </w:r>
    </w:p>
    <w:p w14:paraId="466BB810">
      <w:pPr>
        <w:pStyle w:val="6"/>
      </w:pPr>
    </w:p>
    <w:p w14:paraId="2D8111E2">
      <w:pPr>
        <w:pStyle w:val="6"/>
        <w:ind w:firstLine="708"/>
        <w:rPr>
          <w:b/>
          <w:bCs/>
        </w:rPr>
      </w:pPr>
      <w:r>
        <w:rPr>
          <w:b/>
          <w:bCs/>
        </w:rPr>
        <w:t>1.3.Obrazloženje ostvarenja prihoda i primitaka, rashoda i izdataka</w:t>
      </w:r>
    </w:p>
    <w:p w14:paraId="4B97DD4C">
      <w:pPr>
        <w:pStyle w:val="6"/>
      </w:pPr>
    </w:p>
    <w:p w14:paraId="0DC3804E">
      <w:pPr>
        <w:pStyle w:val="6"/>
      </w:pPr>
    </w:p>
    <w:p w14:paraId="1C11906B">
      <w:pPr>
        <w:pStyle w:val="6"/>
        <w:jc w:val="both"/>
      </w:pPr>
      <w:r>
        <w:t>Dječji vrtić Vojnić nije imao zaduživanja na domaćem i stranom tržištu novca i kapitala, nije koristio proračunske zalihe, nije davao jamstva i izdatke po jamstvima, niti je provodio plan razvojnih programa pa isti neće ni biti obuhvaćeni ovim obrazloženjem.</w:t>
      </w:r>
    </w:p>
    <w:p w14:paraId="68DE0A3F">
      <w:pPr>
        <w:pStyle w:val="6"/>
      </w:pPr>
    </w:p>
    <w:p w14:paraId="293C07A0">
      <w:pPr>
        <w:pStyle w:val="6"/>
        <w:jc w:val="both"/>
      </w:pPr>
      <w:r>
        <w:t>Godišnje izvršenje Financijskog plana za 2024. godinu sastoji se od ukupnih prihoda i primitaka, rashoda i izdataka i nastalog viška iz prethodnih godina. Izvršenje polugodišnjeg Financijskog plana je uravnoteženo, tj. ukupni prihodi i primici jednaki su ukupnim rashodima i izdacima.</w:t>
      </w:r>
    </w:p>
    <w:p w14:paraId="281C4395">
      <w:pPr>
        <w:pStyle w:val="6"/>
        <w:rPr>
          <w:b/>
          <w:bCs/>
        </w:rPr>
      </w:pPr>
    </w:p>
    <w:p w14:paraId="164D6E06">
      <w:pPr>
        <w:pStyle w:val="6"/>
        <w:rPr>
          <w:b/>
          <w:bCs/>
        </w:rPr>
      </w:pPr>
    </w:p>
    <w:p w14:paraId="31BFBDDC">
      <w:pPr>
        <w:pStyle w:val="6"/>
        <w:rPr>
          <w:b/>
          <w:bCs/>
        </w:rPr>
      </w:pPr>
      <w:r>
        <w:rPr>
          <w:b/>
          <w:bCs/>
        </w:rPr>
        <w:t>1.1. OPĆI DIO FINANCIJSKOG PLANA</w:t>
      </w:r>
    </w:p>
    <w:p w14:paraId="49C766CE">
      <w:pPr>
        <w:pStyle w:val="6"/>
        <w:rPr>
          <w:b/>
          <w:bCs/>
        </w:rPr>
      </w:pPr>
    </w:p>
    <w:p w14:paraId="337260D3">
      <w:pPr>
        <w:pStyle w:val="6"/>
        <w:rPr>
          <w:b/>
          <w:bCs/>
        </w:rPr>
      </w:pPr>
    </w:p>
    <w:p w14:paraId="23E37E0F">
      <w:pPr>
        <w:pStyle w:val="6"/>
        <w:ind w:firstLine="708"/>
        <w:jc w:val="both"/>
      </w:pPr>
      <w:r>
        <w:t>Tablični prikaz sadrži Račun prihoda i rashoda i Račun financiranja gdje su prikazani ukupni prihodi i primici te rashodi i izdaci na razini razreda ekonomske klasifikacije, kao i Raspoloživa sredstva iz prethodnih godina.</w:t>
      </w:r>
    </w:p>
    <w:p w14:paraId="6967D6D2">
      <w:pPr>
        <w:pStyle w:val="6"/>
      </w:pPr>
    </w:p>
    <w:p w14:paraId="220F1E5B">
      <w:pPr>
        <w:pStyle w:val="6"/>
        <w:rPr>
          <w:i/>
          <w:iCs/>
        </w:rPr>
      </w:pPr>
      <w:r>
        <w:rPr>
          <w:i/>
          <w:iCs/>
        </w:rPr>
        <w:t>Tablica 1. Izvršenje Općeg dijela financijskog plana</w:t>
      </w:r>
    </w:p>
    <w:p w14:paraId="567BCF7A">
      <w:pPr>
        <w:pStyle w:val="6"/>
      </w:pPr>
    </w:p>
    <w:tbl>
      <w:tblPr>
        <w:tblStyle w:val="3"/>
        <w:tblpPr w:leftFromText="180" w:rightFromText="180" w:vertAnchor="text" w:horzAnchor="margin" w:tblpXSpec="center" w:tblpY="35"/>
        <w:tblW w:w="92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342"/>
        <w:gridCol w:w="1296"/>
        <w:gridCol w:w="1199"/>
        <w:gridCol w:w="1307"/>
        <w:gridCol w:w="1134"/>
        <w:gridCol w:w="1176"/>
      </w:tblGrid>
      <w:tr w14:paraId="6B8A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55DC2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Račun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F5012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Opis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E7A74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Izvršenje</w:t>
            </w:r>
          </w:p>
          <w:p w14:paraId="0A394F6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2023.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</w:tcPr>
          <w:p w14:paraId="53A87C1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Izvorni plan </w:t>
            </w:r>
          </w:p>
          <w:p w14:paraId="01AD25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2024.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813211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Izvršenje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br w:type="textWrapping"/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2024.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0E94CC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Indeks  3/1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133CEA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Indeks  3/2</w:t>
            </w:r>
          </w:p>
        </w:tc>
      </w:tr>
      <w:tr w14:paraId="5E3C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66FC3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A. RAČUN PRIHODA I RASHODA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8A770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</w:tcPr>
          <w:p w14:paraId="5A87459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</w:p>
          <w:p w14:paraId="12848F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17582D7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CD41B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041FAB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14:paraId="394B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C417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86DF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E65C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154.667,53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C2879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238.500,00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1EA2D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268.536,24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1BB6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173,62%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E5BF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86,56%</w:t>
            </w:r>
          </w:p>
        </w:tc>
      </w:tr>
      <w:tr w14:paraId="4B0C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65C2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9D0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A69B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97213F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CA8C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4108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A8E9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14:paraId="7B86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17A2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7C45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UKUPNI PRIHODI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340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154.667,53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97956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238.500,00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42A8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268.536,24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1666C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173,62%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3191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86,56%</w:t>
            </w:r>
          </w:p>
        </w:tc>
      </w:tr>
      <w:tr w14:paraId="4928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4DCD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8FC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9813F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149.994,06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8033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234.000,00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37C1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266.236,99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C634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177,50%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9CBB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85,77%</w:t>
            </w:r>
          </w:p>
        </w:tc>
      </w:tr>
      <w:tr w14:paraId="3A57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76A8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E5A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535E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C0E45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D2F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4.591,25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738B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6E7C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45,91%</w:t>
            </w:r>
          </w:p>
        </w:tc>
      </w:tr>
      <w:tr w14:paraId="2202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8C79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35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UKUPNI RASHODI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E2EC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149.994,06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B516D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244.000,00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1FF7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270.828,24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1DA7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180,56%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79CB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84,53%</w:t>
            </w:r>
          </w:p>
        </w:tc>
      </w:tr>
      <w:tr w14:paraId="79BB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22C1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9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VIŠAK / MANJAK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7309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4.673,47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0ECFC5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-5.500,00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D597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-2.292,00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EFA6C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-49,04%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9F2F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22,50%</w:t>
            </w:r>
          </w:p>
        </w:tc>
      </w:tr>
      <w:tr w14:paraId="76139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1D3F48A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B. RAČUN ZADUŽIVANJA / FINANCIRANJA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1FD31F9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 w14:paraId="016F8D1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66E8749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7ECDB7F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351808B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14:paraId="1F64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163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671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E988C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F1FB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FBCA5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4E69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F61B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14:paraId="774A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30BD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A7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1786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436A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94AA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1D43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6287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14:paraId="5027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D1C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AE2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NETO ZADUŽIVANJE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9149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7B97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FBC4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716E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5B83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14:paraId="1F96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9C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E1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UKUPNI DONOS VIŠKA / MANJKA IZ PRETHODNE(IH) GODINA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75CB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D0FAD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87D0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123D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91F6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14:paraId="049F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52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C2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VIŠAK / MANJAK IZ PRETHODNE(IH) GODINE KOJI ĆE SE POKRITI / RASPOREDITI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4923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1B0ED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5.500,00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D78EC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4E6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A65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14:paraId="15381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 w14:paraId="639D93B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VIŠAK / MANJAK + NETO ZADUŽIVANJE / FINANCIRANJE + KORIŠTENO U PRETHODNIM GODINAMA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2F37D9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 w14:paraId="0CA9D1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64F4E4B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21F8462F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4CA947E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14:paraId="063E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9AA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9C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 xml:space="preserve"> REZULTAT GODINE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17A7F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4.673,47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5246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9E4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F654F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-2.292,00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E570C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cs="Times New Roman"/>
                <w:sz w:val="20"/>
                <w:szCs w:val="20"/>
              </w:rPr>
              <w:t>-49,04%</w:t>
            </w:r>
          </w:p>
        </w:tc>
      </w:tr>
    </w:tbl>
    <w:p w14:paraId="1F661B89">
      <w:pPr>
        <w:pStyle w:val="6"/>
      </w:pPr>
    </w:p>
    <w:p w14:paraId="2B3B16E9">
      <w:pPr>
        <w:rPr>
          <w:vanish/>
        </w:rPr>
      </w:pPr>
    </w:p>
    <w:p w14:paraId="14EAAEB5">
      <w:pPr>
        <w:pStyle w:val="6"/>
      </w:pPr>
    </w:p>
    <w:p w14:paraId="0A3D02DD">
      <w:pPr>
        <w:pStyle w:val="6"/>
        <w:jc w:val="both"/>
      </w:pPr>
      <w:r>
        <w:t xml:space="preserve">Iz iskazanih podataka vidljivo je da je u izvještajnom razdoblju za 2024. godinu, Dječji vrtić ostvario ukupne prihode poslovanja u iznosu od </w:t>
      </w:r>
      <w:r>
        <w:rPr>
          <w:rFonts w:cs="Times New Roman"/>
        </w:rPr>
        <w:t>268.536,24 eura</w:t>
      </w:r>
      <w:r>
        <w:t xml:space="preserve">, što je za </w:t>
      </w:r>
      <w:r>
        <w:rPr>
          <w:rFonts w:cs="Times New Roman"/>
        </w:rPr>
        <w:t>73,62</w:t>
      </w:r>
      <w:r>
        <w:t>% više od ukupnih prihoda ostvarenih na kraju 2023. proračunske godine.</w:t>
      </w:r>
    </w:p>
    <w:p w14:paraId="28BC3ADC">
      <w:pPr>
        <w:pStyle w:val="6"/>
        <w:jc w:val="both"/>
      </w:pPr>
    </w:p>
    <w:p w14:paraId="61A39919">
      <w:pPr>
        <w:pStyle w:val="6"/>
        <w:jc w:val="both"/>
      </w:pPr>
      <w:r>
        <w:t xml:space="preserve">Ukupni rashodi ostvareni su u iznosu od </w:t>
      </w:r>
      <w:r>
        <w:rPr>
          <w:rFonts w:cs="Times New Roman"/>
        </w:rPr>
        <w:t xml:space="preserve">270.828,24 </w:t>
      </w:r>
      <w:r>
        <w:t xml:space="preserve">eura ili </w:t>
      </w:r>
      <w:r>
        <w:rPr>
          <w:rFonts w:cs="Times New Roman"/>
        </w:rPr>
        <w:t>80,56</w:t>
      </w:r>
      <w:r>
        <w:t>% više nego u 2023. godini, što je rezultat povećanja rashoda za zaposlene kao i povećanje rashoda za materijal i energiju.</w:t>
      </w:r>
    </w:p>
    <w:p w14:paraId="3511D19F">
      <w:pPr>
        <w:pStyle w:val="6"/>
        <w:rPr>
          <w:b/>
          <w:bCs/>
        </w:rPr>
      </w:pPr>
    </w:p>
    <w:p w14:paraId="7CEFC0DC">
      <w:pPr>
        <w:pStyle w:val="6"/>
        <w:rPr>
          <w:b/>
          <w:bCs/>
        </w:rPr>
      </w:pPr>
    </w:p>
    <w:p w14:paraId="07A38D91">
      <w:pPr>
        <w:pStyle w:val="6"/>
        <w:rPr>
          <w:b/>
          <w:bCs/>
        </w:rPr>
      </w:pPr>
      <w:r>
        <w:rPr>
          <w:b/>
          <w:bCs/>
        </w:rPr>
        <w:t>1.2. POSEBNI DIO FINANCIJSKOG PLANA</w:t>
      </w:r>
    </w:p>
    <w:p w14:paraId="287AAE1F">
      <w:pPr>
        <w:pStyle w:val="6"/>
      </w:pPr>
    </w:p>
    <w:p w14:paraId="40656E99">
      <w:pPr>
        <w:pStyle w:val="6"/>
      </w:pPr>
    </w:p>
    <w:p w14:paraId="0576A8D1">
      <w:pPr>
        <w:pStyle w:val="6"/>
        <w:ind w:firstLine="708"/>
        <w:jc w:val="both"/>
      </w:pPr>
      <w:r>
        <w:t xml:space="preserve">Rashodi i izdaci utvrđeni u Posebnom dijelu iskazani su po organizacijskoj, programskoj i ekonomskoj klasifikaciji, gdje su iskazani izvorni plan i godišnje izvršenje za 2024. godinu s brojčanim oznakama i nazivima razdjela i glave, programa i aktivnosti te računa ekonomske klasifikacije na razini podskupine i odjeljka i indeksa izvršenja sa 31.12.2024. godine u odnosu na izvorni plan 2024. godine. </w:t>
      </w:r>
    </w:p>
    <w:p w14:paraId="76786DCC">
      <w:pPr>
        <w:pStyle w:val="6"/>
        <w:jc w:val="both"/>
      </w:pPr>
    </w:p>
    <w:p w14:paraId="34370D54">
      <w:pPr>
        <w:pStyle w:val="6"/>
        <w:rPr>
          <w:b/>
          <w:bCs/>
        </w:rPr>
      </w:pPr>
    </w:p>
    <w:p w14:paraId="3F071A38">
      <w:pPr>
        <w:pStyle w:val="6"/>
        <w:rPr>
          <w:b/>
          <w:bCs/>
        </w:rPr>
      </w:pPr>
      <w:r>
        <w:rPr>
          <w:b/>
          <w:bCs/>
        </w:rPr>
        <w:t>1.3. OBRAZLOŽENJE OSTVARENJA PRIHODA I PRIMITAKA, RASHODA I IZDATAKA</w:t>
      </w:r>
    </w:p>
    <w:p w14:paraId="0E85B3DC">
      <w:pPr>
        <w:pStyle w:val="6"/>
      </w:pPr>
    </w:p>
    <w:p w14:paraId="3A51A669">
      <w:pPr>
        <w:pStyle w:val="6"/>
      </w:pPr>
    </w:p>
    <w:p w14:paraId="6969D96B">
      <w:pPr>
        <w:pStyle w:val="6"/>
        <w:ind w:firstLine="708"/>
        <w:jc w:val="both"/>
      </w:pPr>
      <w:r>
        <w:t xml:space="preserve">Godišnji izvještaj za 2024. godinu iskazan je prema Pravilniku o polugodišnjem i godišnjem izvještaju o izvršenju proračuna (NN 85/2023) iskazan je </w:t>
      </w:r>
      <w:r>
        <w:rPr>
          <w:rStyle w:val="8"/>
          <w:b/>
          <w:bCs/>
        </w:rPr>
        <w:t>Izvorni plan,</w:t>
      </w:r>
      <w:r>
        <w:t xml:space="preserve"> tj. Financijski plan za 2024. godinu koji je donijelo Općinsko vijeće Općine Vojnić.</w:t>
      </w:r>
    </w:p>
    <w:p w14:paraId="1CC6BE75">
      <w:pPr>
        <w:pStyle w:val="6"/>
      </w:pPr>
    </w:p>
    <w:p w14:paraId="345BC4E7">
      <w:pPr>
        <w:pStyle w:val="6"/>
      </w:pPr>
    </w:p>
    <w:p w14:paraId="1FDE5720">
      <w:pPr>
        <w:pStyle w:val="6"/>
      </w:pPr>
    </w:p>
    <w:p w14:paraId="58415C96">
      <w:pPr>
        <w:pStyle w:val="6"/>
      </w:pPr>
    </w:p>
    <w:p w14:paraId="0F854727">
      <w:pPr>
        <w:pStyle w:val="6"/>
        <w:rPr>
          <w:b/>
          <w:bCs/>
        </w:rPr>
      </w:pPr>
      <w:r>
        <w:rPr>
          <w:b/>
          <w:bCs/>
        </w:rPr>
        <w:t>Prihodi poslovanja</w:t>
      </w:r>
    </w:p>
    <w:p w14:paraId="070762F0">
      <w:pPr>
        <w:pStyle w:val="6"/>
      </w:pPr>
    </w:p>
    <w:p w14:paraId="416B3467">
      <w:pPr>
        <w:pStyle w:val="6"/>
        <w:ind w:firstLine="708"/>
      </w:pPr>
      <w:r>
        <w:t>P</w:t>
      </w:r>
      <w:r>
        <w:rPr>
          <w:rStyle w:val="8"/>
          <w:bCs/>
        </w:rPr>
        <w:t>rihodi poslovanja u proračunskoj godini</w:t>
      </w:r>
      <w:r>
        <w:t xml:space="preserve"> 2024. godini ostvareni su u iznosu od </w:t>
      </w:r>
      <w:r>
        <w:rPr>
          <w:rFonts w:cs="Times New Roman"/>
        </w:rPr>
        <w:t xml:space="preserve">268.536,24 </w:t>
      </w:r>
      <w:r>
        <w:t xml:space="preserve">eura, što je, u odnosu na planirane prihode poslovanja za 2024. godinu, veći za </w:t>
      </w:r>
      <w:r>
        <w:rPr>
          <w:rFonts w:cs="Times New Roman"/>
        </w:rPr>
        <w:t>86,56 %</w:t>
      </w:r>
      <w:r>
        <w:rPr>
          <w:rFonts w:cs="Times New Roman"/>
          <w:sz w:val="20"/>
          <w:szCs w:val="20"/>
        </w:rPr>
        <w:t xml:space="preserve">. </w:t>
      </w:r>
      <w:r>
        <w:t xml:space="preserve">Ti isti prihodi poslovanja u 2024. godini veći su za </w:t>
      </w:r>
      <w:r>
        <w:rPr>
          <w:rFonts w:cs="Times New Roman"/>
        </w:rPr>
        <w:t xml:space="preserve">173,62% </w:t>
      </w:r>
      <w:r>
        <w:t xml:space="preserve">od prihoda poslovanja ostvarenih u 2023. godini, koji su iznosili </w:t>
      </w:r>
      <w:r>
        <w:rPr>
          <w:rFonts w:cs="Times New Roman"/>
        </w:rPr>
        <w:t>154.667,53</w:t>
      </w:r>
      <w:r>
        <w:rPr>
          <w:sz w:val="32"/>
          <w:szCs w:val="32"/>
        </w:rPr>
        <w:t xml:space="preserve"> </w:t>
      </w:r>
      <w:r>
        <w:t>eura.</w:t>
      </w:r>
    </w:p>
    <w:p w14:paraId="48C63B7E">
      <w:pPr>
        <w:pStyle w:val="6"/>
      </w:pPr>
    </w:p>
    <w:p w14:paraId="77E53613">
      <w:pPr>
        <w:pStyle w:val="6"/>
        <w:jc w:val="both"/>
      </w:pPr>
      <w:r>
        <w:t>U nastavku se daje pregled prihoda po skupinama konta u odnosu na godišnje ostvarenje za 2023. godinu i 2024. godinu:</w:t>
      </w:r>
    </w:p>
    <w:p w14:paraId="0E0896AA">
      <w:pPr>
        <w:pStyle w:val="6"/>
        <w:jc w:val="both"/>
      </w:pPr>
    </w:p>
    <w:p w14:paraId="695D001D">
      <w:pPr>
        <w:pStyle w:val="6"/>
        <w:rPr>
          <w:i/>
          <w:iCs/>
        </w:rPr>
      </w:pPr>
      <w:r>
        <w:rPr>
          <w:i/>
          <w:iCs/>
        </w:rPr>
        <w:t>Tablica 2. Prihodi poslovanja</w:t>
      </w:r>
    </w:p>
    <w:p w14:paraId="2F5866EC">
      <w:pPr>
        <w:pStyle w:val="6"/>
        <w:rPr>
          <w:i/>
          <w:iCs/>
        </w:rPr>
      </w:pPr>
    </w:p>
    <w:tbl>
      <w:tblPr>
        <w:tblStyle w:val="3"/>
        <w:tblW w:w="100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0"/>
        <w:gridCol w:w="1984"/>
        <w:gridCol w:w="1559"/>
        <w:gridCol w:w="1418"/>
        <w:gridCol w:w="1417"/>
        <w:gridCol w:w="1418"/>
        <w:gridCol w:w="1276"/>
      </w:tblGrid>
      <w:tr w14:paraId="791CA2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1347D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konta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8790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konta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655E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Ostvarenje do </w:t>
            </w:r>
          </w:p>
          <w:p w14:paraId="43F5C0FB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31.12.2023.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945C1E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Izvorni plan </w:t>
            </w:r>
          </w:p>
          <w:p w14:paraId="0ACA5658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 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94482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Ostvarenje do 31.12.2024.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61B94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3/1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5F9F50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3/2</w:t>
            </w:r>
          </w:p>
        </w:tc>
      </w:tr>
      <w:tr w14:paraId="329DE2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6337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9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1305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758B7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16.983,60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B22BA4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33.500,00 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363A2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453,60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22122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1B77D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64,80%</w:t>
            </w:r>
          </w:p>
        </w:tc>
      </w:tr>
      <w:tr w14:paraId="7C1B86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DF211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C739C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upravnih i administrativnih pristojbi, pristojbi po posebnim propisima</w:t>
            </w: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DDD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772926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8DD2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35.169,63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8FC6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581750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100,48</w:t>
            </w:r>
          </w:p>
        </w:tc>
      </w:tr>
      <w:tr w14:paraId="6B687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49838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07117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F438A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24.932,11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F908DD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EEA37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BF4BA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E979EF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14:paraId="76953F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C1CE1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CB87B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313C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112.751,82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5A418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175.000,00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389A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232.913,01</w:t>
            </w: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50171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206,57%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99F80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84,84%</w:t>
            </w:r>
          </w:p>
        </w:tc>
      </w:tr>
    </w:tbl>
    <w:p w14:paraId="56ACC187">
      <w:pPr>
        <w:pStyle w:val="6"/>
      </w:pPr>
    </w:p>
    <w:p w14:paraId="3C8943DE">
      <w:pPr>
        <w:pStyle w:val="6"/>
        <w:jc w:val="both"/>
      </w:pPr>
      <w:r>
        <w:t xml:space="preserve">Za razdoblje od 01. siječnja 2024. godine do 31. prosinca 2024. godine Dječji vrtić Vojnić ostvario je ukupne prihode poslovanja u iznosu od </w:t>
      </w:r>
      <w:r>
        <w:rPr>
          <w:rFonts w:cs="Times New Roman"/>
        </w:rPr>
        <w:t xml:space="preserve">268.536,24 </w:t>
      </w:r>
      <w:r>
        <w:t>eura, a ostvareni su kako slijedi:</w:t>
      </w:r>
    </w:p>
    <w:p w14:paraId="7EC4354F">
      <w:pPr>
        <w:pStyle w:val="6"/>
        <w:jc w:val="both"/>
      </w:pPr>
    </w:p>
    <w:p w14:paraId="78FD5DBB">
      <w:pPr>
        <w:pStyle w:val="6"/>
        <w:ind w:firstLine="708"/>
        <w:jc w:val="both"/>
      </w:pPr>
      <w:r>
        <w:t>- tekuće pomoći proračuna iz drugog proračuna                                         453,60 eura,</w:t>
      </w:r>
    </w:p>
    <w:p w14:paraId="2B01D714">
      <w:pPr>
        <w:pStyle w:val="6"/>
        <w:ind w:firstLine="708"/>
        <w:jc w:val="both"/>
        <w:rPr>
          <w:highlight w:val="yellow"/>
        </w:rPr>
      </w:pPr>
      <w:r>
        <w:t>- prihodi od upravnih i administrativnih pristojbi</w:t>
      </w:r>
      <w:r>
        <w:tab/>
      </w:r>
      <w:r>
        <w:tab/>
      </w:r>
      <w:r>
        <w:tab/>
      </w:r>
      <w:r>
        <w:t xml:space="preserve">      35.169,63 eura,</w:t>
      </w:r>
    </w:p>
    <w:p w14:paraId="00A4F5C2">
      <w:pPr>
        <w:pStyle w:val="6"/>
        <w:ind w:firstLine="708"/>
        <w:jc w:val="both"/>
      </w:pPr>
      <w:r>
        <w:t>- prihodi iz nadležnog proračuna za financiranje rashoda poslovanja  232.913,01 eura.</w:t>
      </w:r>
    </w:p>
    <w:p w14:paraId="5374BEA2">
      <w:pPr>
        <w:pStyle w:val="6"/>
        <w:rPr>
          <w:b/>
          <w:bCs/>
        </w:rPr>
      </w:pPr>
    </w:p>
    <w:p w14:paraId="6761F182">
      <w:pPr>
        <w:pStyle w:val="6"/>
        <w:rPr>
          <w:b/>
          <w:bCs/>
        </w:rPr>
      </w:pPr>
    </w:p>
    <w:p w14:paraId="40C23EAB">
      <w:pPr>
        <w:pStyle w:val="6"/>
        <w:rPr>
          <w:b/>
          <w:bCs/>
        </w:rPr>
      </w:pPr>
      <w:r>
        <w:rPr>
          <w:b/>
          <w:bCs/>
        </w:rPr>
        <w:t>Rashodi poslovanja</w:t>
      </w:r>
    </w:p>
    <w:p w14:paraId="76EB080D">
      <w:pPr>
        <w:pStyle w:val="6"/>
        <w:rPr>
          <w:b/>
          <w:bCs/>
        </w:rPr>
      </w:pPr>
    </w:p>
    <w:p w14:paraId="31A0C413">
      <w:pPr>
        <w:pStyle w:val="6"/>
        <w:jc w:val="both"/>
      </w:pPr>
      <w:r>
        <w:t>Planirani</w:t>
      </w:r>
      <w:r>
        <w:rPr>
          <w:rStyle w:val="8"/>
          <w:b/>
          <w:bCs/>
        </w:rPr>
        <w:t xml:space="preserve"> </w:t>
      </w:r>
      <w:r>
        <w:rPr>
          <w:rStyle w:val="8"/>
          <w:bCs/>
        </w:rPr>
        <w:t>rashodi poslovanja</w:t>
      </w:r>
      <w:r>
        <w:t xml:space="preserve"> u 2024. godini su </w:t>
      </w:r>
      <w:r>
        <w:rPr>
          <w:rFonts w:eastAsia="Times New Roman" w:cs="Times New Roman"/>
          <w:kern w:val="0"/>
          <w:lang w:eastAsia="hr-HR" w:bidi="ar-SA"/>
        </w:rPr>
        <w:t xml:space="preserve">234.000,00 </w:t>
      </w:r>
      <w:r>
        <w:t xml:space="preserve">eura, a u razdoblju od 01. siječnja 2024. godine do 31. prosinca 2024. godine Dječji vrtić Vojnić ostvario je ukupne rashode u iznosu od </w:t>
      </w:r>
      <w:r>
        <w:rPr>
          <w:rFonts w:eastAsia="Times New Roman" w:cs="Times New Roman"/>
          <w:kern w:val="0"/>
          <w:lang w:eastAsia="hr-HR" w:bidi="ar-SA"/>
        </w:rPr>
        <w:t xml:space="preserve">266.236,99 </w:t>
      </w:r>
      <w:r>
        <w:t>eura.</w:t>
      </w:r>
    </w:p>
    <w:p w14:paraId="1D1F1FA6">
      <w:pPr>
        <w:pStyle w:val="6"/>
      </w:pPr>
    </w:p>
    <w:p w14:paraId="6638174D">
      <w:pPr>
        <w:pStyle w:val="6"/>
        <w:jc w:val="both"/>
      </w:pPr>
      <w:r>
        <w:t>U nastavku se daje tablični pregled rashoda po skupinama konta u odnosu na ostvarenja za 2023. godinu i 2024. godinu te izvorni plan:</w:t>
      </w:r>
    </w:p>
    <w:p w14:paraId="10E2E002">
      <w:pPr>
        <w:pStyle w:val="6"/>
        <w:jc w:val="both"/>
      </w:pPr>
    </w:p>
    <w:p w14:paraId="6AB869F1">
      <w:pPr>
        <w:pStyle w:val="6"/>
      </w:pPr>
      <w:r>
        <w:t>Rashodi u izvršenju Financijskog plana su sljedeći:</w:t>
      </w:r>
    </w:p>
    <w:p w14:paraId="43E12A79">
      <w:pPr>
        <w:pStyle w:val="6"/>
      </w:pPr>
    </w:p>
    <w:p w14:paraId="3FC52BC0">
      <w:pPr>
        <w:pStyle w:val="6"/>
        <w:numPr>
          <w:ilvl w:val="0"/>
          <w:numId w:val="1"/>
        </w:numPr>
      </w:pPr>
      <w:r>
        <w:t>rashodi poslovanja (za zaposlene, materijalni rashodi, financijski rashodi)</w:t>
      </w:r>
    </w:p>
    <w:p w14:paraId="0A2C3F7E">
      <w:pPr>
        <w:pStyle w:val="6"/>
        <w:numPr>
          <w:ilvl w:val="0"/>
          <w:numId w:val="1"/>
        </w:numPr>
        <w:jc w:val="both"/>
      </w:pPr>
      <w:r>
        <w:t>rashodi za nabavu nefinancijske imovine (rashodi za dodatna ulaganja na nefinancijskoj imovini).</w:t>
      </w:r>
    </w:p>
    <w:p w14:paraId="6E18859F">
      <w:pPr>
        <w:pStyle w:val="6"/>
        <w:jc w:val="both"/>
      </w:pPr>
    </w:p>
    <w:p w14:paraId="5E8C76F9">
      <w:pPr>
        <w:pStyle w:val="6"/>
        <w:jc w:val="both"/>
      </w:pPr>
      <w:r>
        <w:t>Rashodi za zaposlene ostvareni su u iznosu                                                         210.761,27 eura,</w:t>
      </w:r>
    </w:p>
    <w:p w14:paraId="4DBD231F">
      <w:pPr>
        <w:pStyle w:val="6"/>
        <w:jc w:val="both"/>
        <w:rPr>
          <w:highlight w:val="yellow"/>
        </w:rPr>
      </w:pPr>
      <w:r>
        <w:t>Materijalni rashodi ostvareni su u iznosu od                                                          55.334,54 eura,</w:t>
      </w:r>
    </w:p>
    <w:p w14:paraId="6BF92EFB">
      <w:pPr>
        <w:pStyle w:val="6"/>
        <w:jc w:val="both"/>
      </w:pPr>
      <w:r>
        <w:t>Financijski rashodi ostvareni su u iznosu od                                                               141,18 eura,</w:t>
      </w:r>
    </w:p>
    <w:p w14:paraId="518C4167">
      <w:pPr>
        <w:pStyle w:val="6"/>
        <w:jc w:val="both"/>
      </w:pPr>
      <w:r>
        <w:t>Rashoda za nabavu nefinancijske imovine u ovom izvještajnom razdoblju iznose 4.591,25 eura.</w:t>
      </w:r>
    </w:p>
    <w:p w14:paraId="7552F050">
      <w:pPr>
        <w:pStyle w:val="6"/>
      </w:pPr>
    </w:p>
    <w:p w14:paraId="4681E2D5">
      <w:pPr>
        <w:pStyle w:val="6"/>
        <w:jc w:val="both"/>
      </w:pPr>
      <w:r>
        <w:t>Rashodi</w:t>
      </w:r>
      <w:r>
        <w:rPr>
          <w:rStyle w:val="8"/>
          <w:bCs/>
        </w:rPr>
        <w:t xml:space="preserve"> poslovanja u</w:t>
      </w:r>
      <w:r>
        <w:rPr>
          <w:rStyle w:val="8"/>
          <w:b/>
          <w:bCs/>
        </w:rPr>
        <w:t xml:space="preserve"> </w:t>
      </w:r>
      <w:r>
        <w:t>2024. godini su, u odnosu na planirane rashode poslovanja za 2023. godinu za 177,50% veći, a u odnosu na Plan 2024. godine izvršenje je 85,77%.</w:t>
      </w:r>
    </w:p>
    <w:p w14:paraId="1F67E582">
      <w:pPr>
        <w:pStyle w:val="6"/>
        <w:jc w:val="both"/>
      </w:pPr>
    </w:p>
    <w:p w14:paraId="7F3FC3EF">
      <w:pPr>
        <w:pStyle w:val="6"/>
        <w:jc w:val="both"/>
      </w:pPr>
    </w:p>
    <w:p w14:paraId="566ABD68">
      <w:pPr>
        <w:pStyle w:val="6"/>
        <w:rPr>
          <w:i/>
          <w:iCs/>
        </w:rPr>
      </w:pPr>
      <w:r>
        <w:rPr>
          <w:i/>
          <w:iCs/>
        </w:rPr>
        <w:t>Tablica 3. Rashodi poslovanja</w:t>
      </w:r>
    </w:p>
    <w:p w14:paraId="2BDF3390">
      <w:pPr>
        <w:pStyle w:val="6"/>
        <w:jc w:val="both"/>
      </w:pPr>
    </w:p>
    <w:tbl>
      <w:tblPr>
        <w:tblStyle w:val="3"/>
        <w:tblpPr w:leftFromText="180" w:rightFromText="180" w:vertAnchor="text" w:horzAnchor="margin" w:tblpY="52"/>
        <w:tblW w:w="921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1560"/>
        <w:gridCol w:w="1417"/>
        <w:gridCol w:w="1276"/>
        <w:gridCol w:w="1276"/>
        <w:gridCol w:w="1275"/>
        <w:gridCol w:w="1276"/>
      </w:tblGrid>
      <w:tr w14:paraId="644BB5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atLeast"/>
        </w:trPr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7A9F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konta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F03E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konta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C4320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Ostvarenje</w:t>
            </w:r>
            <w:r>
              <w:t xml:space="preserve"> </w:t>
            </w:r>
            <w:r>
              <w:rPr>
                <w:sz w:val="20"/>
                <w:szCs w:val="20"/>
              </w:rPr>
              <w:t>do 31.12.2023.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2333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Izvorni plan </w:t>
            </w:r>
          </w:p>
          <w:p w14:paraId="45DB500A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 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03E9E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Ostvarenje do 31.12.2024.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31CE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3/1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66FCB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3/2</w:t>
            </w:r>
          </w:p>
        </w:tc>
      </w:tr>
      <w:tr w14:paraId="1469D0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" w:hRule="atLeast"/>
        </w:trPr>
        <w:tc>
          <w:tcPr>
            <w:tcW w:w="1131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672A2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884C6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A6431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104.907,12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2717C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161.600,00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4A0D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210.761,27</w:t>
            </w: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B143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200,90%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761753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80,34%</w:t>
            </w:r>
          </w:p>
        </w:tc>
      </w:tr>
      <w:tr w14:paraId="4F87C2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atLeast"/>
        </w:trPr>
        <w:tc>
          <w:tcPr>
            <w:tcW w:w="1131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D6BCA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CEB6B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022D6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44.806,99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6A13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71.800,00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B605B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55.334,54</w:t>
            </w: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660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123,50%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F36572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74,46%</w:t>
            </w:r>
          </w:p>
        </w:tc>
      </w:tr>
      <w:tr w14:paraId="47E15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atLeast"/>
        </w:trPr>
        <w:tc>
          <w:tcPr>
            <w:tcW w:w="1131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F4E8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6335B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Financijski rashodi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D2A6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279,95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0DDD5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B7135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141,18</w:t>
            </w:r>
          </w:p>
        </w:tc>
        <w:tc>
          <w:tcPr>
            <w:tcW w:w="12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2C356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50,43%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CDCA637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54,08%</w:t>
            </w:r>
          </w:p>
        </w:tc>
      </w:tr>
      <w:tr w14:paraId="44FA6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36BE7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F5914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93E23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1B7CD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4599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6B893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CFDF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14:paraId="1BA7A6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E311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1E149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C8CC1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9CC8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B883C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3.593,75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64F00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6760">
            <w:pPr>
              <w:pStyle w:val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</w:tbl>
    <w:p w14:paraId="55C98F67">
      <w:pPr>
        <w:pStyle w:val="6"/>
      </w:pPr>
    </w:p>
    <w:p w14:paraId="6C425521">
      <w:pPr>
        <w:pStyle w:val="6"/>
        <w:rPr>
          <w:b/>
          <w:bCs/>
        </w:rPr>
      </w:pPr>
    </w:p>
    <w:p w14:paraId="47C8D703">
      <w:pPr>
        <w:pStyle w:val="6"/>
        <w:rPr>
          <w:b/>
          <w:bCs/>
        </w:rPr>
      </w:pPr>
      <w:r>
        <w:rPr>
          <w:b/>
          <w:bCs/>
        </w:rPr>
        <w:t>ZAKLJUČAK</w:t>
      </w:r>
    </w:p>
    <w:p w14:paraId="7EED6A06">
      <w:pPr>
        <w:pStyle w:val="6"/>
      </w:pPr>
    </w:p>
    <w:p w14:paraId="75096382">
      <w:pPr>
        <w:pStyle w:val="6"/>
        <w:ind w:firstLine="708"/>
        <w:jc w:val="both"/>
      </w:pPr>
      <w:r>
        <w:t>Godišnje izvršenje financijskog plana za 2024. godinu pokazuje da su prihodi poslovanja zadovoljavajući, te da su se rashodi izvršavali u okviru planiranih iznosa.</w:t>
      </w:r>
    </w:p>
    <w:p w14:paraId="043B71D5">
      <w:pPr>
        <w:pStyle w:val="6"/>
      </w:pPr>
    </w:p>
    <w:p w14:paraId="778AB8BD">
      <w:pPr>
        <w:pStyle w:val="6"/>
      </w:pPr>
    </w:p>
    <w:p w14:paraId="7BCC5C06">
      <w:pPr>
        <w:pStyle w:val="6"/>
      </w:pPr>
    </w:p>
    <w:p w14:paraId="1FDE2BFD">
      <w:pPr>
        <w:pStyle w:val="6"/>
        <w:tabs>
          <w:tab w:val="center" w:pos="6946"/>
        </w:tabs>
        <w:spacing w:line="480" w:lineRule="auto"/>
        <w:jc w:val="right"/>
      </w:pPr>
      <w:r>
        <w:tab/>
      </w:r>
      <w:r>
        <w:t xml:space="preserve"> Ravnateljica Dječjeg vrtića Vojnić</w:t>
      </w:r>
    </w:p>
    <w:p w14:paraId="22F2517F">
      <w:pPr>
        <w:pStyle w:val="6"/>
        <w:tabs>
          <w:tab w:val="center" w:pos="6946"/>
        </w:tabs>
        <w:spacing w:line="480" w:lineRule="auto"/>
      </w:pPr>
      <w:r>
        <w:tab/>
      </w:r>
      <w:r>
        <w:tab/>
      </w:r>
      <w:r>
        <w:t xml:space="preserve">    Viktorija Bižić</w:t>
      </w:r>
    </w:p>
    <w:sectPr>
      <w:pgSz w:w="11906" w:h="16838"/>
      <w:pgMar w:top="1560" w:right="1134" w:bottom="1276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841BE"/>
    <w:multiLevelType w:val="multilevel"/>
    <w:tmpl w:val="511841BE"/>
    <w:lvl w:ilvl="0" w:tentative="0">
      <w:start w:val="0"/>
      <w:numFmt w:val="bullet"/>
      <w:lvlText w:val="–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–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–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–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–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–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–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–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–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4"/>
    <w:rsid w:val="00014408"/>
    <w:rsid w:val="0005393A"/>
    <w:rsid w:val="0006274D"/>
    <w:rsid w:val="00071182"/>
    <w:rsid w:val="000713C6"/>
    <w:rsid w:val="000A37AE"/>
    <w:rsid w:val="000B2EB3"/>
    <w:rsid w:val="000C0FD6"/>
    <w:rsid w:val="000D0E92"/>
    <w:rsid w:val="000D2314"/>
    <w:rsid w:val="000D380C"/>
    <w:rsid w:val="000D6861"/>
    <w:rsid w:val="000F297A"/>
    <w:rsid w:val="000F2A38"/>
    <w:rsid w:val="001031FC"/>
    <w:rsid w:val="00135A7E"/>
    <w:rsid w:val="001A1F09"/>
    <w:rsid w:val="001C2042"/>
    <w:rsid w:val="001C23FA"/>
    <w:rsid w:val="001C6197"/>
    <w:rsid w:val="001C6EAB"/>
    <w:rsid w:val="001D6E29"/>
    <w:rsid w:val="001E5BF2"/>
    <w:rsid w:val="00210153"/>
    <w:rsid w:val="00220727"/>
    <w:rsid w:val="00222ED5"/>
    <w:rsid w:val="00241421"/>
    <w:rsid w:val="00246797"/>
    <w:rsid w:val="00275FD6"/>
    <w:rsid w:val="00283714"/>
    <w:rsid w:val="002862EB"/>
    <w:rsid w:val="00286B9B"/>
    <w:rsid w:val="00287EFD"/>
    <w:rsid w:val="002C3626"/>
    <w:rsid w:val="002D3CCD"/>
    <w:rsid w:val="002D46A1"/>
    <w:rsid w:val="003019A5"/>
    <w:rsid w:val="00301F00"/>
    <w:rsid w:val="00304DDF"/>
    <w:rsid w:val="00304E89"/>
    <w:rsid w:val="00305521"/>
    <w:rsid w:val="0031329C"/>
    <w:rsid w:val="0032093B"/>
    <w:rsid w:val="00321130"/>
    <w:rsid w:val="003222FE"/>
    <w:rsid w:val="0032343B"/>
    <w:rsid w:val="00327F7E"/>
    <w:rsid w:val="00345010"/>
    <w:rsid w:val="00355DCC"/>
    <w:rsid w:val="003565E5"/>
    <w:rsid w:val="00373865"/>
    <w:rsid w:val="00376FBF"/>
    <w:rsid w:val="00394273"/>
    <w:rsid w:val="003A0FA8"/>
    <w:rsid w:val="003B114C"/>
    <w:rsid w:val="003B7791"/>
    <w:rsid w:val="003C027D"/>
    <w:rsid w:val="003D7A4D"/>
    <w:rsid w:val="004002D3"/>
    <w:rsid w:val="00404AA6"/>
    <w:rsid w:val="00424F45"/>
    <w:rsid w:val="00432BA7"/>
    <w:rsid w:val="00465782"/>
    <w:rsid w:val="00482490"/>
    <w:rsid w:val="004B0F8B"/>
    <w:rsid w:val="004C2ED7"/>
    <w:rsid w:val="004C3C18"/>
    <w:rsid w:val="004F2550"/>
    <w:rsid w:val="004F7B6D"/>
    <w:rsid w:val="004F7DFB"/>
    <w:rsid w:val="005157C2"/>
    <w:rsid w:val="005267ED"/>
    <w:rsid w:val="005902FD"/>
    <w:rsid w:val="00590DA6"/>
    <w:rsid w:val="005C2D82"/>
    <w:rsid w:val="005D0CE6"/>
    <w:rsid w:val="005D249B"/>
    <w:rsid w:val="005E7630"/>
    <w:rsid w:val="005F7271"/>
    <w:rsid w:val="00617C1C"/>
    <w:rsid w:val="00633D0D"/>
    <w:rsid w:val="00646050"/>
    <w:rsid w:val="006522C1"/>
    <w:rsid w:val="006805CE"/>
    <w:rsid w:val="006952A6"/>
    <w:rsid w:val="006A0EB0"/>
    <w:rsid w:val="006A459D"/>
    <w:rsid w:val="006C4FCA"/>
    <w:rsid w:val="006C57D6"/>
    <w:rsid w:val="006D4DF0"/>
    <w:rsid w:val="006E556F"/>
    <w:rsid w:val="006F0647"/>
    <w:rsid w:val="00703C3E"/>
    <w:rsid w:val="0070689A"/>
    <w:rsid w:val="007145B2"/>
    <w:rsid w:val="007170FC"/>
    <w:rsid w:val="00723DE3"/>
    <w:rsid w:val="007469E3"/>
    <w:rsid w:val="0075048E"/>
    <w:rsid w:val="00762A5A"/>
    <w:rsid w:val="00763689"/>
    <w:rsid w:val="007874F1"/>
    <w:rsid w:val="00793FDF"/>
    <w:rsid w:val="007A55AB"/>
    <w:rsid w:val="007B2C98"/>
    <w:rsid w:val="007C4E07"/>
    <w:rsid w:val="007D0674"/>
    <w:rsid w:val="007E3F7D"/>
    <w:rsid w:val="007E4A36"/>
    <w:rsid w:val="007E7041"/>
    <w:rsid w:val="007F6F59"/>
    <w:rsid w:val="00800BF8"/>
    <w:rsid w:val="0084482D"/>
    <w:rsid w:val="0086298F"/>
    <w:rsid w:val="00872E9B"/>
    <w:rsid w:val="00874C88"/>
    <w:rsid w:val="008A0319"/>
    <w:rsid w:val="008A2355"/>
    <w:rsid w:val="008C480B"/>
    <w:rsid w:val="008E41D8"/>
    <w:rsid w:val="009000F8"/>
    <w:rsid w:val="00904B84"/>
    <w:rsid w:val="009279D4"/>
    <w:rsid w:val="00931EB2"/>
    <w:rsid w:val="0093577E"/>
    <w:rsid w:val="00953E63"/>
    <w:rsid w:val="0096424F"/>
    <w:rsid w:val="00972510"/>
    <w:rsid w:val="00973D08"/>
    <w:rsid w:val="00983916"/>
    <w:rsid w:val="00994660"/>
    <w:rsid w:val="009B3788"/>
    <w:rsid w:val="009C3BB7"/>
    <w:rsid w:val="009C48A1"/>
    <w:rsid w:val="009C544A"/>
    <w:rsid w:val="009C621F"/>
    <w:rsid w:val="009F33EE"/>
    <w:rsid w:val="00A27183"/>
    <w:rsid w:val="00A45195"/>
    <w:rsid w:val="00A924A3"/>
    <w:rsid w:val="00AA0C48"/>
    <w:rsid w:val="00AB1D39"/>
    <w:rsid w:val="00AB44A7"/>
    <w:rsid w:val="00AB4580"/>
    <w:rsid w:val="00AC20F7"/>
    <w:rsid w:val="00AD1422"/>
    <w:rsid w:val="00AE4862"/>
    <w:rsid w:val="00B1033C"/>
    <w:rsid w:val="00B248A1"/>
    <w:rsid w:val="00B36848"/>
    <w:rsid w:val="00B37E8D"/>
    <w:rsid w:val="00B45404"/>
    <w:rsid w:val="00B53FA9"/>
    <w:rsid w:val="00B645DC"/>
    <w:rsid w:val="00B72A40"/>
    <w:rsid w:val="00B77AAC"/>
    <w:rsid w:val="00B801DE"/>
    <w:rsid w:val="00B80ED2"/>
    <w:rsid w:val="00B82911"/>
    <w:rsid w:val="00BB452C"/>
    <w:rsid w:val="00BC2252"/>
    <w:rsid w:val="00BE21DB"/>
    <w:rsid w:val="00BF004D"/>
    <w:rsid w:val="00BF02ED"/>
    <w:rsid w:val="00C01FAD"/>
    <w:rsid w:val="00C12563"/>
    <w:rsid w:val="00C37CA1"/>
    <w:rsid w:val="00C52329"/>
    <w:rsid w:val="00C63A8F"/>
    <w:rsid w:val="00C641E9"/>
    <w:rsid w:val="00C82BCD"/>
    <w:rsid w:val="00C83589"/>
    <w:rsid w:val="00C92A50"/>
    <w:rsid w:val="00C950D5"/>
    <w:rsid w:val="00C959FC"/>
    <w:rsid w:val="00CC20BD"/>
    <w:rsid w:val="00CD52A4"/>
    <w:rsid w:val="00D116F7"/>
    <w:rsid w:val="00D22BD7"/>
    <w:rsid w:val="00D2656A"/>
    <w:rsid w:val="00D32B33"/>
    <w:rsid w:val="00D36707"/>
    <w:rsid w:val="00D5452D"/>
    <w:rsid w:val="00D728DF"/>
    <w:rsid w:val="00D8440D"/>
    <w:rsid w:val="00D90604"/>
    <w:rsid w:val="00DC0408"/>
    <w:rsid w:val="00DE022B"/>
    <w:rsid w:val="00DF12FB"/>
    <w:rsid w:val="00DF1D98"/>
    <w:rsid w:val="00E01945"/>
    <w:rsid w:val="00E02C80"/>
    <w:rsid w:val="00E04E1D"/>
    <w:rsid w:val="00E139B7"/>
    <w:rsid w:val="00E1469B"/>
    <w:rsid w:val="00E223B1"/>
    <w:rsid w:val="00E2575D"/>
    <w:rsid w:val="00E55E2C"/>
    <w:rsid w:val="00E70D84"/>
    <w:rsid w:val="00E72FB4"/>
    <w:rsid w:val="00E760CE"/>
    <w:rsid w:val="00E764F8"/>
    <w:rsid w:val="00EA6AF1"/>
    <w:rsid w:val="00EB394B"/>
    <w:rsid w:val="00EB6834"/>
    <w:rsid w:val="00ED5BD7"/>
    <w:rsid w:val="00ED7DF8"/>
    <w:rsid w:val="00EE187E"/>
    <w:rsid w:val="00EF27EE"/>
    <w:rsid w:val="00F03137"/>
    <w:rsid w:val="00F21DE6"/>
    <w:rsid w:val="00F27A31"/>
    <w:rsid w:val="00F27B01"/>
    <w:rsid w:val="00F3751C"/>
    <w:rsid w:val="00F414B3"/>
    <w:rsid w:val="00F52614"/>
    <w:rsid w:val="00F733F8"/>
    <w:rsid w:val="00F970E2"/>
    <w:rsid w:val="00FC5A2E"/>
    <w:rsid w:val="00FF6C4F"/>
    <w:rsid w:val="00FF78F5"/>
    <w:rsid w:val="286E174C"/>
    <w:rsid w:val="54D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hr-H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5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6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hr-HR" w:eastAsia="zh-CN" w:bidi="hi-IN"/>
    </w:rPr>
  </w:style>
  <w:style w:type="paragraph" w:customStyle="1" w:styleId="7">
    <w:name w:val="Table Contents"/>
    <w:basedOn w:val="6"/>
    <w:qFormat/>
    <w:uiPriority w:val="0"/>
    <w:pPr>
      <w:suppressLineNumbers/>
    </w:pPr>
  </w:style>
  <w:style w:type="character" w:customStyle="1" w:styleId="8">
    <w:name w:val="Zadani font odlomka1"/>
    <w:qFormat/>
    <w:uiPriority w:val="0"/>
  </w:style>
  <w:style w:type="character" w:customStyle="1" w:styleId="9">
    <w:name w:val="Zaglavlje Char"/>
    <w:basedOn w:val="2"/>
    <w:link w:val="5"/>
    <w:qFormat/>
    <w:uiPriority w:val="99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character" w:customStyle="1" w:styleId="10">
    <w:name w:val="Podnožje Char"/>
    <w:basedOn w:val="2"/>
    <w:link w:val="4"/>
    <w:qFormat/>
    <w:uiPriority w:val="99"/>
    <w:rPr>
      <w:rFonts w:ascii="Times New Roman" w:hAnsi="Times New Roman" w:eastAsia="SimSun" w:cs="Mangal"/>
      <w:kern w:val="3"/>
      <w:sz w:val="24"/>
      <w:szCs w:val="2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1228</Words>
  <Characters>7002</Characters>
  <Lines>58</Lines>
  <Paragraphs>16</Paragraphs>
  <TotalTime>48</TotalTime>
  <ScaleCrop>false</ScaleCrop>
  <LinksUpToDate>false</LinksUpToDate>
  <CharactersWithSpaces>8214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2024-05-23T11:15:00Z</dcterms:created>
  <dc:creator>DV Vojnić</dc:creator>
  <cp:lastModifiedBy>DV Vojnić</cp:lastModifiedBy>
  <cp:lastPrinted>2025-03-19T12:35:10Z</cp:lastPrinted>
  <dcterms:modified xsi:type="dcterms:W3CDTF">2025-03-19T12:35:26Z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872101C5D64E4ED18466372043005A66_13</vt:lpwstr>
  </property>
</Properties>
</file>